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34C8A9" w14:textId="0C551F04" w:rsidR="00F85032" w:rsidRDefault="00F85032" w:rsidP="008F112D"/>
    <w:p w14:paraId="6A02BA42" w14:textId="77777777" w:rsidR="00F85032" w:rsidRDefault="00000000" w:rsidP="008F112D">
      <w:proofErr w:type="spellStart"/>
      <w:r>
        <w:t>PixelOdyssey</w:t>
      </w:r>
      <w:proofErr w:type="spellEnd"/>
    </w:p>
    <w:p w14:paraId="05B06A88" w14:textId="1A51FD22" w:rsidR="00F85032" w:rsidRDefault="00000000" w:rsidP="008F112D">
      <w:r>
        <w:t xml:space="preserve">Rapport de bilan de projet </w:t>
      </w:r>
    </w:p>
    <w:p w14:paraId="5BF39874" w14:textId="77777777" w:rsidR="00F85032" w:rsidRDefault="00000000" w:rsidP="008F112D">
      <w:r>
        <w:t>Détection, segmentation et estimation des déchets plastiques par imagerie drone — le principe de la vision par ordinateur et son application au projet</w:t>
      </w:r>
    </w:p>
    <w:p w14:paraId="1BBC3250" w14:textId="1598B4B5" w:rsidR="00F85032" w:rsidRDefault="00000000">
      <w:pPr>
        <w:pStyle w:val="Titre1"/>
      </w:pPr>
      <w:r>
        <w:t>Sommaire</w:t>
      </w:r>
    </w:p>
    <w:p w14:paraId="1CCD201B" w14:textId="045D3D40" w:rsidR="00CC7E87" w:rsidRPr="00AD35A5" w:rsidRDefault="00CC7E87" w:rsidP="00AD35A5">
      <w:pPr>
        <w:pStyle w:val="Paragraphedeliste"/>
        <w:numPr>
          <w:ilvl w:val="0"/>
          <w:numId w:val="2"/>
        </w:numPr>
        <w:spacing w:after="60"/>
        <w:rPr>
          <w:color w:val="5A5A5A"/>
        </w:rPr>
      </w:pPr>
      <w:r w:rsidRPr="00CC7E87">
        <w:rPr>
          <w:color w:val="5A5A5A"/>
        </w:rPr>
        <w:t>Objectifs du projet</w:t>
      </w:r>
    </w:p>
    <w:p w14:paraId="404F4B44" w14:textId="07840981" w:rsidR="00CC7E87" w:rsidRDefault="00CC7E87" w:rsidP="00CC7E87">
      <w:pPr>
        <w:pStyle w:val="Paragraphedeliste"/>
        <w:numPr>
          <w:ilvl w:val="0"/>
          <w:numId w:val="2"/>
        </w:numPr>
        <w:spacing w:after="60"/>
        <w:rPr>
          <w:color w:val="5A5A5A"/>
        </w:rPr>
      </w:pPr>
      <w:r>
        <w:rPr>
          <w:color w:val="5A5A5A"/>
        </w:rPr>
        <w:t xml:space="preserve">Vue d’ensemble de l’architecture </w:t>
      </w:r>
    </w:p>
    <w:p w14:paraId="4E511EE2" w14:textId="54FE7F8E" w:rsidR="00CC7E87" w:rsidRDefault="00CC7E87" w:rsidP="00CC7E87">
      <w:pPr>
        <w:pStyle w:val="Paragraphedeliste"/>
        <w:numPr>
          <w:ilvl w:val="1"/>
          <w:numId w:val="2"/>
        </w:numPr>
        <w:spacing w:after="60"/>
        <w:rPr>
          <w:color w:val="5A5A5A"/>
        </w:rPr>
      </w:pPr>
      <w:r>
        <w:rPr>
          <w:color w:val="5A5A5A"/>
        </w:rPr>
        <w:t>Accès aux données et aux codes</w:t>
      </w:r>
    </w:p>
    <w:p w14:paraId="69C9C693" w14:textId="378DC8D0" w:rsidR="00CC7E87" w:rsidRDefault="00CC7E87" w:rsidP="00CC7E87">
      <w:pPr>
        <w:pStyle w:val="Paragraphedeliste"/>
        <w:numPr>
          <w:ilvl w:val="1"/>
          <w:numId w:val="2"/>
        </w:numPr>
        <w:spacing w:after="60"/>
        <w:rPr>
          <w:color w:val="5A5A5A"/>
        </w:rPr>
      </w:pPr>
      <w:r>
        <w:rPr>
          <w:color w:val="5A5A5A"/>
        </w:rPr>
        <w:t>Principe de fonctionnement</w:t>
      </w:r>
    </w:p>
    <w:p w14:paraId="5D356D4D" w14:textId="4D86B2EB" w:rsidR="00CC7E87" w:rsidRDefault="00CC7E87" w:rsidP="00CC7E87">
      <w:pPr>
        <w:pStyle w:val="Paragraphedeliste"/>
        <w:numPr>
          <w:ilvl w:val="1"/>
          <w:numId w:val="2"/>
        </w:numPr>
        <w:spacing w:after="60"/>
        <w:rPr>
          <w:color w:val="5A5A5A"/>
        </w:rPr>
      </w:pPr>
      <w:r>
        <w:rPr>
          <w:color w:val="5A5A5A"/>
        </w:rPr>
        <w:t>Dépendances</w:t>
      </w:r>
      <w:r w:rsidR="008F112D">
        <w:rPr>
          <w:color w:val="5A5A5A"/>
        </w:rPr>
        <w:t xml:space="preserve"> logicielles et matérielles</w:t>
      </w:r>
    </w:p>
    <w:p w14:paraId="465558BF" w14:textId="2144BB12" w:rsidR="00CC7E87" w:rsidRDefault="00CC7E87" w:rsidP="00CC7E87">
      <w:pPr>
        <w:pStyle w:val="Paragraphedeliste"/>
        <w:numPr>
          <w:ilvl w:val="0"/>
          <w:numId w:val="2"/>
        </w:numPr>
        <w:spacing w:after="60"/>
        <w:rPr>
          <w:color w:val="5A5A5A"/>
        </w:rPr>
      </w:pPr>
      <w:r>
        <w:rPr>
          <w:color w:val="5A5A5A"/>
        </w:rPr>
        <w:t>Données sources : acquisitions, formats et transformations</w:t>
      </w:r>
    </w:p>
    <w:p w14:paraId="1CF1738E" w14:textId="13710BB4" w:rsidR="00CC7E87" w:rsidRDefault="00CC7E87" w:rsidP="00CC7E87">
      <w:pPr>
        <w:pStyle w:val="Paragraphedeliste"/>
        <w:numPr>
          <w:ilvl w:val="1"/>
          <w:numId w:val="2"/>
        </w:numPr>
        <w:spacing w:after="60"/>
        <w:rPr>
          <w:color w:val="5A5A5A"/>
        </w:rPr>
      </w:pPr>
      <w:r>
        <w:rPr>
          <w:color w:val="5A5A5A"/>
        </w:rPr>
        <w:t>Site et méthodes de collecte</w:t>
      </w:r>
    </w:p>
    <w:p w14:paraId="4981BB03" w14:textId="1253D43A" w:rsidR="00CC7E87" w:rsidRDefault="00CC7E87" w:rsidP="00CC7E87">
      <w:pPr>
        <w:pStyle w:val="Paragraphedeliste"/>
        <w:numPr>
          <w:ilvl w:val="1"/>
          <w:numId w:val="2"/>
        </w:numPr>
        <w:spacing w:after="60"/>
        <w:rPr>
          <w:color w:val="5A5A5A"/>
        </w:rPr>
      </w:pPr>
      <w:r>
        <w:rPr>
          <w:color w:val="5A5A5A"/>
        </w:rPr>
        <w:t xml:space="preserve">Production des </w:t>
      </w:r>
      <w:proofErr w:type="spellStart"/>
      <w:r>
        <w:rPr>
          <w:color w:val="5A5A5A"/>
        </w:rPr>
        <w:t>orthomosaïques</w:t>
      </w:r>
      <w:proofErr w:type="spellEnd"/>
      <w:r>
        <w:rPr>
          <w:color w:val="5A5A5A"/>
        </w:rPr>
        <w:t xml:space="preserve"> </w:t>
      </w:r>
    </w:p>
    <w:p w14:paraId="62A4BCEF" w14:textId="63A38C0F" w:rsidR="00CC7E87" w:rsidRDefault="00CC7E87" w:rsidP="00CC7E87">
      <w:pPr>
        <w:pStyle w:val="Paragraphedeliste"/>
        <w:numPr>
          <w:ilvl w:val="1"/>
          <w:numId w:val="2"/>
        </w:numPr>
        <w:spacing w:after="60"/>
        <w:rPr>
          <w:color w:val="5A5A5A"/>
        </w:rPr>
      </w:pPr>
      <w:r>
        <w:rPr>
          <w:color w:val="5A5A5A"/>
        </w:rPr>
        <w:t>Préparation des annotations</w:t>
      </w:r>
    </w:p>
    <w:p w14:paraId="12930ED8" w14:textId="46C70AF8" w:rsidR="00CC7E87" w:rsidRDefault="00CC7E87" w:rsidP="00CC7E87">
      <w:pPr>
        <w:pStyle w:val="Paragraphedeliste"/>
        <w:numPr>
          <w:ilvl w:val="1"/>
          <w:numId w:val="2"/>
        </w:numPr>
        <w:spacing w:after="60"/>
        <w:rPr>
          <w:color w:val="5A5A5A"/>
        </w:rPr>
      </w:pPr>
      <w:r>
        <w:rPr>
          <w:color w:val="5A5A5A"/>
        </w:rPr>
        <w:t xml:space="preserve">Analyse du </w:t>
      </w:r>
      <w:proofErr w:type="spellStart"/>
      <w:r>
        <w:rPr>
          <w:color w:val="5A5A5A"/>
        </w:rPr>
        <w:t>dataset</w:t>
      </w:r>
      <w:proofErr w:type="spellEnd"/>
      <w:r>
        <w:rPr>
          <w:color w:val="5A5A5A"/>
        </w:rPr>
        <w:t xml:space="preserve"> disponible</w:t>
      </w:r>
    </w:p>
    <w:p w14:paraId="0630F5D3" w14:textId="50452103" w:rsidR="00CC7E87" w:rsidRDefault="00CC7E87" w:rsidP="00CC7E87">
      <w:pPr>
        <w:pStyle w:val="Paragraphedeliste"/>
        <w:numPr>
          <w:ilvl w:val="0"/>
          <w:numId w:val="2"/>
        </w:numPr>
        <w:spacing w:after="60"/>
        <w:rPr>
          <w:color w:val="5A5A5A"/>
        </w:rPr>
      </w:pPr>
      <w:r>
        <w:rPr>
          <w:color w:val="5A5A5A"/>
        </w:rPr>
        <w:t xml:space="preserve">Entrainement </w:t>
      </w:r>
      <w:r w:rsidR="00A534F3">
        <w:rPr>
          <w:color w:val="5A5A5A"/>
        </w:rPr>
        <w:t xml:space="preserve">et développement </w:t>
      </w:r>
      <w:r>
        <w:rPr>
          <w:color w:val="5A5A5A"/>
        </w:rPr>
        <w:t>du modèle</w:t>
      </w:r>
    </w:p>
    <w:p w14:paraId="06FC38A0" w14:textId="440AEBE0" w:rsidR="00CC7E87" w:rsidRDefault="00CC7E87" w:rsidP="00CC7E87">
      <w:pPr>
        <w:pStyle w:val="Paragraphedeliste"/>
        <w:numPr>
          <w:ilvl w:val="1"/>
          <w:numId w:val="2"/>
        </w:numPr>
        <w:spacing w:after="60"/>
        <w:rPr>
          <w:color w:val="5A5A5A"/>
        </w:rPr>
      </w:pPr>
      <w:r>
        <w:rPr>
          <w:color w:val="5A5A5A"/>
        </w:rPr>
        <w:t>Principe et contraintes de la segmentation en Computer Vision</w:t>
      </w:r>
    </w:p>
    <w:p w14:paraId="4EFF045D" w14:textId="4649A6AB" w:rsidR="00CC7E87" w:rsidRDefault="00CC7E87" w:rsidP="00CC7E87">
      <w:pPr>
        <w:pStyle w:val="Paragraphedeliste"/>
        <w:numPr>
          <w:ilvl w:val="1"/>
          <w:numId w:val="2"/>
        </w:numPr>
        <w:spacing w:after="60"/>
        <w:rPr>
          <w:color w:val="5A5A5A"/>
        </w:rPr>
      </w:pPr>
      <w:r>
        <w:rPr>
          <w:color w:val="5A5A5A"/>
        </w:rPr>
        <w:t xml:space="preserve">Le travail sur le </w:t>
      </w:r>
      <w:proofErr w:type="spellStart"/>
      <w:r>
        <w:rPr>
          <w:color w:val="5A5A5A"/>
        </w:rPr>
        <w:t>dataset</w:t>
      </w:r>
      <w:proofErr w:type="spellEnd"/>
    </w:p>
    <w:p w14:paraId="321038B2" w14:textId="371E3E0C" w:rsidR="00CC7E87" w:rsidRPr="00AD35A5" w:rsidRDefault="00CC7E87" w:rsidP="00AD35A5">
      <w:pPr>
        <w:pStyle w:val="Paragraphedeliste"/>
        <w:numPr>
          <w:ilvl w:val="2"/>
          <w:numId w:val="2"/>
        </w:numPr>
        <w:spacing w:after="60"/>
        <w:rPr>
          <w:color w:val="5A5A5A"/>
        </w:rPr>
      </w:pPr>
      <w:r>
        <w:rPr>
          <w:color w:val="5A5A5A"/>
        </w:rPr>
        <w:t xml:space="preserve">Préparation des données </w:t>
      </w:r>
    </w:p>
    <w:p w14:paraId="15247554" w14:textId="371E86F8" w:rsidR="00CC7E87" w:rsidRDefault="00AD35A5" w:rsidP="00CC7E87">
      <w:pPr>
        <w:pStyle w:val="Paragraphedeliste"/>
        <w:numPr>
          <w:ilvl w:val="2"/>
          <w:numId w:val="2"/>
        </w:numPr>
        <w:spacing w:after="60"/>
        <w:rPr>
          <w:color w:val="5A5A5A"/>
        </w:rPr>
      </w:pPr>
      <w:r>
        <w:rPr>
          <w:color w:val="5A5A5A"/>
        </w:rPr>
        <w:t>Taxonomie, a</w:t>
      </w:r>
      <w:r w:rsidR="00CC7E87">
        <w:rPr>
          <w:color w:val="5A5A5A"/>
        </w:rPr>
        <w:t>ugmentation et équilibrage</w:t>
      </w:r>
    </w:p>
    <w:p w14:paraId="3691BF9D" w14:textId="73636FA3" w:rsidR="00CC7E87" w:rsidRPr="00CC7E87" w:rsidRDefault="00CC7E87" w:rsidP="00CC7E87">
      <w:pPr>
        <w:pStyle w:val="Paragraphedeliste"/>
        <w:numPr>
          <w:ilvl w:val="2"/>
          <w:numId w:val="2"/>
        </w:numPr>
        <w:spacing w:after="60"/>
        <w:rPr>
          <w:color w:val="5A5A5A"/>
        </w:rPr>
      </w:pPr>
      <w:r>
        <w:rPr>
          <w:color w:val="5A5A5A"/>
        </w:rPr>
        <w:t xml:space="preserve">Séparation du </w:t>
      </w:r>
      <w:proofErr w:type="spellStart"/>
      <w:r>
        <w:rPr>
          <w:color w:val="5A5A5A"/>
        </w:rPr>
        <w:t>dataset</w:t>
      </w:r>
      <w:proofErr w:type="spellEnd"/>
      <w:r>
        <w:rPr>
          <w:color w:val="5A5A5A"/>
        </w:rPr>
        <w:t xml:space="preserve"> et exigence de comparabilité</w:t>
      </w:r>
    </w:p>
    <w:p w14:paraId="758C68CA" w14:textId="6F11B544" w:rsidR="00CC7E87" w:rsidRPr="00CC7E87" w:rsidRDefault="00CC7E87" w:rsidP="00CC7E87">
      <w:pPr>
        <w:pStyle w:val="Paragraphedeliste"/>
        <w:numPr>
          <w:ilvl w:val="1"/>
          <w:numId w:val="2"/>
        </w:numPr>
        <w:spacing w:after="60"/>
        <w:rPr>
          <w:color w:val="5A5A5A"/>
        </w:rPr>
      </w:pPr>
      <w:r>
        <w:rPr>
          <w:color w:val="5A5A5A"/>
        </w:rPr>
        <w:t>Entrainement d’un modèle</w:t>
      </w:r>
    </w:p>
    <w:p w14:paraId="3A68964B" w14:textId="497DAE16" w:rsidR="00CC7E87" w:rsidRDefault="00CC7E87" w:rsidP="00CC7E87">
      <w:pPr>
        <w:pStyle w:val="Paragraphedeliste"/>
        <w:numPr>
          <w:ilvl w:val="2"/>
          <w:numId w:val="2"/>
        </w:numPr>
        <w:spacing w:after="60"/>
        <w:rPr>
          <w:color w:val="5A5A5A"/>
        </w:rPr>
      </w:pPr>
      <w:r>
        <w:rPr>
          <w:color w:val="5A5A5A"/>
        </w:rPr>
        <w:t>Fine-tuning et réglage d’un modèle existant</w:t>
      </w:r>
    </w:p>
    <w:p w14:paraId="0DC7EA8C" w14:textId="175AB5CE" w:rsidR="00CC7E87" w:rsidRDefault="00A534F3" w:rsidP="00CC7E87">
      <w:pPr>
        <w:pStyle w:val="Paragraphedeliste"/>
        <w:numPr>
          <w:ilvl w:val="2"/>
          <w:numId w:val="2"/>
        </w:numPr>
        <w:spacing w:after="60"/>
        <w:rPr>
          <w:color w:val="5A5A5A"/>
        </w:rPr>
      </w:pPr>
      <w:r>
        <w:rPr>
          <w:color w:val="5A5A5A"/>
        </w:rPr>
        <w:t>Hyperparamètres déterminant pour notre configuration</w:t>
      </w:r>
    </w:p>
    <w:p w14:paraId="4E20CB51" w14:textId="7F69AAF1" w:rsidR="00A534F3" w:rsidRDefault="00A534F3" w:rsidP="00CC7E87">
      <w:pPr>
        <w:pStyle w:val="Paragraphedeliste"/>
        <w:numPr>
          <w:ilvl w:val="2"/>
          <w:numId w:val="2"/>
        </w:numPr>
        <w:spacing w:after="60"/>
        <w:rPr>
          <w:color w:val="5A5A5A"/>
        </w:rPr>
      </w:pPr>
      <w:r>
        <w:rPr>
          <w:color w:val="5A5A5A"/>
        </w:rPr>
        <w:t>Lecture des résultats</w:t>
      </w:r>
    </w:p>
    <w:p w14:paraId="284100F1" w14:textId="77777777" w:rsidR="00E11316" w:rsidRDefault="00A534F3" w:rsidP="00A534F3">
      <w:pPr>
        <w:pStyle w:val="Paragraphedeliste"/>
        <w:numPr>
          <w:ilvl w:val="1"/>
          <w:numId w:val="2"/>
        </w:numPr>
        <w:spacing w:after="60"/>
        <w:rPr>
          <w:color w:val="5A5A5A"/>
        </w:rPr>
      </w:pPr>
      <w:r>
        <w:rPr>
          <w:color w:val="5A5A5A"/>
        </w:rPr>
        <w:t>Comparaison des modèles</w:t>
      </w:r>
    </w:p>
    <w:p w14:paraId="273DF2A8" w14:textId="2B66D734" w:rsidR="00A534F3" w:rsidRDefault="00E11316" w:rsidP="00E11316">
      <w:pPr>
        <w:pStyle w:val="Paragraphedeliste"/>
        <w:numPr>
          <w:ilvl w:val="1"/>
          <w:numId w:val="2"/>
        </w:numPr>
        <w:spacing w:after="60"/>
        <w:rPr>
          <w:color w:val="5A5A5A"/>
        </w:rPr>
      </w:pPr>
      <w:r>
        <w:rPr>
          <w:color w:val="5A5A5A"/>
        </w:rPr>
        <w:t>Performances et résultats</w:t>
      </w:r>
      <w:r w:rsidR="00A534F3">
        <w:rPr>
          <w:color w:val="5A5A5A"/>
        </w:rPr>
        <w:t xml:space="preserve"> </w:t>
      </w:r>
    </w:p>
    <w:p w14:paraId="18772AFA" w14:textId="08766F09" w:rsidR="00E11316" w:rsidRDefault="00E11316" w:rsidP="00E11316">
      <w:pPr>
        <w:pStyle w:val="Paragraphedeliste"/>
        <w:numPr>
          <w:ilvl w:val="1"/>
          <w:numId w:val="2"/>
        </w:numPr>
        <w:spacing w:after="60"/>
        <w:rPr>
          <w:color w:val="5A5A5A"/>
        </w:rPr>
      </w:pPr>
      <w:r>
        <w:rPr>
          <w:color w:val="5A5A5A"/>
        </w:rPr>
        <w:t>Pistes d’amélioration</w:t>
      </w:r>
    </w:p>
    <w:p w14:paraId="6BBEC9FF" w14:textId="7BD0614C" w:rsidR="00A534F3" w:rsidRDefault="00A534F3" w:rsidP="00A534F3">
      <w:pPr>
        <w:pStyle w:val="Paragraphedeliste"/>
        <w:numPr>
          <w:ilvl w:val="0"/>
          <w:numId w:val="2"/>
        </w:numPr>
        <w:spacing w:after="60"/>
        <w:rPr>
          <w:color w:val="5A5A5A"/>
        </w:rPr>
      </w:pPr>
      <w:r>
        <w:rPr>
          <w:color w:val="5A5A5A"/>
        </w:rPr>
        <w:t xml:space="preserve">Pipeline de production </w:t>
      </w:r>
    </w:p>
    <w:p w14:paraId="7F0FDC03" w14:textId="0ED57334" w:rsidR="00A534F3" w:rsidRDefault="00A534F3" w:rsidP="00A534F3">
      <w:pPr>
        <w:pStyle w:val="Paragraphedeliste"/>
        <w:numPr>
          <w:ilvl w:val="1"/>
          <w:numId w:val="2"/>
        </w:numPr>
        <w:spacing w:after="60"/>
        <w:rPr>
          <w:color w:val="5A5A5A"/>
        </w:rPr>
      </w:pPr>
      <w:r>
        <w:rPr>
          <w:color w:val="5A5A5A"/>
        </w:rPr>
        <w:t>Deux modes d’inférences dépendant de la donnée d’entrée</w:t>
      </w:r>
    </w:p>
    <w:p w14:paraId="2EC7F3C6" w14:textId="0E6BC70E" w:rsidR="00B5402E" w:rsidRDefault="00B5402E" w:rsidP="00B5402E">
      <w:pPr>
        <w:pStyle w:val="Paragraphedeliste"/>
        <w:numPr>
          <w:ilvl w:val="2"/>
          <w:numId w:val="2"/>
        </w:numPr>
        <w:spacing w:after="60"/>
        <w:rPr>
          <w:color w:val="5A5A5A"/>
        </w:rPr>
      </w:pPr>
      <w:r>
        <w:rPr>
          <w:color w:val="5A5A5A"/>
        </w:rPr>
        <w:t>Fonctionnement de l’inférence</w:t>
      </w:r>
    </w:p>
    <w:p w14:paraId="7FB0BCD8" w14:textId="7607DF35" w:rsidR="00B5402E" w:rsidRDefault="00B5402E" w:rsidP="00B5402E">
      <w:pPr>
        <w:pStyle w:val="Paragraphedeliste"/>
        <w:numPr>
          <w:ilvl w:val="2"/>
          <w:numId w:val="2"/>
        </w:numPr>
        <w:spacing w:after="60"/>
        <w:rPr>
          <w:color w:val="5A5A5A"/>
        </w:rPr>
      </w:pPr>
      <w:r>
        <w:rPr>
          <w:color w:val="5A5A5A"/>
        </w:rPr>
        <w:t>Mécanisme de dédoublement</w:t>
      </w:r>
    </w:p>
    <w:p w14:paraId="0329AB0F" w14:textId="270AEDDD" w:rsidR="00A534F3" w:rsidRDefault="00A534F3" w:rsidP="00B5402E">
      <w:pPr>
        <w:pStyle w:val="Paragraphedeliste"/>
        <w:numPr>
          <w:ilvl w:val="1"/>
          <w:numId w:val="2"/>
        </w:numPr>
        <w:spacing w:after="60"/>
        <w:rPr>
          <w:color w:val="5A5A5A"/>
        </w:rPr>
      </w:pPr>
      <w:r>
        <w:rPr>
          <w:color w:val="5A5A5A"/>
        </w:rPr>
        <w:t>Production d’indicateur</w:t>
      </w:r>
      <w:r w:rsidR="00B5402E">
        <w:rPr>
          <w:color w:val="5A5A5A"/>
        </w:rPr>
        <w:t>s</w:t>
      </w:r>
    </w:p>
    <w:p w14:paraId="4CDA3DD1" w14:textId="632F5A97" w:rsidR="00A534F3" w:rsidRDefault="00B5402E" w:rsidP="00E11316">
      <w:pPr>
        <w:pStyle w:val="Paragraphedeliste"/>
        <w:numPr>
          <w:ilvl w:val="2"/>
          <w:numId w:val="2"/>
        </w:numPr>
        <w:spacing w:after="60"/>
        <w:rPr>
          <w:color w:val="5A5A5A"/>
        </w:rPr>
      </w:pPr>
      <w:r>
        <w:rPr>
          <w:color w:val="5A5A5A"/>
        </w:rPr>
        <w:t xml:space="preserve">Quantification et </w:t>
      </w:r>
    </w:p>
    <w:p w14:paraId="377E720F" w14:textId="55DAF7B6" w:rsidR="00E11316" w:rsidRDefault="00E11316" w:rsidP="00E11316">
      <w:pPr>
        <w:pStyle w:val="Paragraphedeliste"/>
        <w:numPr>
          <w:ilvl w:val="1"/>
          <w:numId w:val="2"/>
        </w:numPr>
        <w:spacing w:after="60"/>
        <w:rPr>
          <w:color w:val="5A5A5A"/>
        </w:rPr>
      </w:pPr>
      <w:r>
        <w:rPr>
          <w:color w:val="5A5A5A"/>
        </w:rPr>
        <w:t>Pistes encore ouvertes et à développer</w:t>
      </w:r>
    </w:p>
    <w:p w14:paraId="49A283C9" w14:textId="33F37BF4" w:rsidR="00E11316" w:rsidRDefault="00E11316" w:rsidP="00E11316">
      <w:pPr>
        <w:pStyle w:val="Paragraphedeliste"/>
        <w:numPr>
          <w:ilvl w:val="0"/>
          <w:numId w:val="2"/>
        </w:numPr>
        <w:spacing w:after="60"/>
        <w:rPr>
          <w:color w:val="5A5A5A"/>
        </w:rPr>
      </w:pPr>
      <w:r>
        <w:rPr>
          <w:color w:val="5A5A5A"/>
        </w:rPr>
        <w:t xml:space="preserve">Bilan de mission </w:t>
      </w:r>
    </w:p>
    <w:p w14:paraId="05E97219" w14:textId="46713CBE" w:rsidR="00E11316" w:rsidRPr="00E11316" w:rsidRDefault="00E11316" w:rsidP="00AD35A5">
      <w:pPr>
        <w:pStyle w:val="Paragraphedeliste"/>
        <w:numPr>
          <w:ilvl w:val="0"/>
          <w:numId w:val="2"/>
        </w:numPr>
        <w:spacing w:after="60"/>
      </w:pPr>
      <w:r>
        <w:rPr>
          <w:color w:val="5A5A5A"/>
        </w:rPr>
        <w:t xml:space="preserve">Annexes chiffrées </w:t>
      </w:r>
    </w:p>
    <w:p w14:paraId="3A702734" w14:textId="511A88D6" w:rsidR="00F85032" w:rsidRDefault="008F112D" w:rsidP="008F112D">
      <w:pPr>
        <w:pStyle w:val="Titre1"/>
        <w:pageBreakBefore/>
        <w:numPr>
          <w:ilvl w:val="0"/>
          <w:numId w:val="3"/>
        </w:numPr>
      </w:pPr>
      <w:r>
        <w:lastRenderedPageBreak/>
        <w:t xml:space="preserve">Objectifs du projet </w:t>
      </w:r>
      <w:r w:rsidR="00000000">
        <w:t xml:space="preserve"> </w:t>
      </w:r>
    </w:p>
    <w:p w14:paraId="0691C7B6" w14:textId="13F6DFA4" w:rsidR="008F112D" w:rsidRDefault="008F112D" w:rsidP="008F112D">
      <w:r w:rsidRPr="008F112D">
        <w:t xml:space="preserve">Le projet </w:t>
      </w:r>
      <w:proofErr w:type="spellStart"/>
      <w:r w:rsidRPr="008F112D">
        <w:t>PixelOdyssey</w:t>
      </w:r>
      <w:proofErr w:type="spellEnd"/>
      <w:r w:rsidRPr="008F112D">
        <w:t xml:space="preserve"> est né d'une volonté opérationnelle claire : automatiser le repérage, la caractérisation morphologique et l'estimation quantitative des pollutions plastiques accumulées sur les littoraux à partir de prises de vue aériennes par drone, dans le cadre des missions scientifiques de Plastic Odyssey. Si la formulation de cette ambition est concise, chaque terme pose des défis d'ingénierie et de méthode qui ont structuré l'ensemble des développements. Automatiser implique que la chaîne logicielle ne doive pas être réécrite à chaque nouvelle expédition ; elle doit au contraire accueillir de nouveaux sites, de nouvelles résolutions et de nouvelles annotations au sein d'un référentiel stable. L'articulation entre détection et estimation scinde le problème en deux étapes distinctes : d'abord isoler visuellement chaque objet par sa silhouette, puis traduire la surface bidimensionnelle déduite de l'image en une masse physique réelle, exprimée en kilogrammes.</w:t>
      </w:r>
    </w:p>
    <w:p w14:paraId="00EE6196" w14:textId="77777777" w:rsidR="008F112D" w:rsidRDefault="008F112D">
      <w:pPr>
        <w:spacing w:after="0"/>
        <w:jc w:val="left"/>
      </w:pPr>
      <w:r>
        <w:br w:type="page"/>
      </w:r>
    </w:p>
    <w:p w14:paraId="2103A043" w14:textId="6C4F80DF" w:rsidR="00F85032" w:rsidRDefault="008F112D" w:rsidP="008F112D">
      <w:pPr>
        <w:pStyle w:val="Titre1"/>
        <w:numPr>
          <w:ilvl w:val="0"/>
          <w:numId w:val="3"/>
        </w:numPr>
      </w:pPr>
      <w:r w:rsidRPr="008F112D">
        <w:lastRenderedPageBreak/>
        <w:t>Vue d’ensemble de l’architecture</w:t>
      </w:r>
    </w:p>
    <w:p w14:paraId="1711B4B2" w14:textId="1A5BF445" w:rsidR="008F112D" w:rsidRDefault="008F112D" w:rsidP="008F112D">
      <w:r w:rsidRPr="008F112D">
        <w:t xml:space="preserve">L'architecture globale de </w:t>
      </w:r>
      <w:proofErr w:type="spellStart"/>
      <w:r w:rsidRPr="008F112D">
        <w:t>PixelOdyssey</w:t>
      </w:r>
      <w:proofErr w:type="spellEnd"/>
      <w:r w:rsidRPr="008F112D">
        <w:t xml:space="preserve"> repose sur une séparation hermétique entre deux chantiers distincts</w:t>
      </w:r>
      <w:r>
        <w:t xml:space="preserve"> </w:t>
      </w:r>
      <w:r w:rsidRPr="008F112D">
        <w:t>: l'environnement d'entraînement et de recherche d'un côté, et le pipeline de déploiement en production de l'autre. Cette dichotomie répond à une exigence de rigueur. Le chantier d'entraînement est conçu comme un laboratoire scientifique où la reproductibilité, l'isolation stricte des jeux de données et la comparabilité métrologique absolue entre les itérations priment sur toute autre considération. À l'inverse, le chantier de production est pensé pour une robustesse maximale sur le terrain, face à des données bruitées et des ressources de calcul restreintes.</w:t>
      </w:r>
    </w:p>
    <w:p w14:paraId="481C1F1D" w14:textId="79E27B4A" w:rsidR="008F112D" w:rsidRDefault="008F112D" w:rsidP="008F112D">
      <w:pPr>
        <w:jc w:val="center"/>
      </w:pPr>
      <w:r>
        <w:rPr>
          <w:noProof/>
        </w:rPr>
        <w:drawing>
          <wp:inline distT="0" distB="0" distL="0" distR="0" wp14:anchorId="00A0CB56" wp14:editId="33A542B0">
            <wp:extent cx="4762500" cy="4038600"/>
            <wp:effectExtent l="0" t="0" r="0" b="0"/>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
                    <a:srcRect/>
                    <a:stretch>
                      <a:fillRect/>
                    </a:stretch>
                  </pic:blipFill>
                  <pic:spPr bwMode="auto">
                    <a:xfrm>
                      <a:off x="0" y="0"/>
                      <a:ext cx="4762500" cy="4038600"/>
                    </a:xfrm>
                    <a:prstGeom prst="rect">
                      <a:avLst/>
                    </a:prstGeom>
                  </pic:spPr>
                </pic:pic>
              </a:graphicData>
            </a:graphic>
          </wp:inline>
        </w:drawing>
      </w:r>
    </w:p>
    <w:p w14:paraId="7E55E78C" w14:textId="3DB6FA1E" w:rsidR="008F112D" w:rsidRDefault="008F112D" w:rsidP="008F112D">
      <w:r w:rsidRPr="008F112D">
        <w:t>La passerelle unique reliant ces deux univers réside dans un registre de modèles formalisé. Le pipeline de production n'entraîne aucun poids ; il consomme un modèle stabilisé, préalablement entraîné et évalué, accompagné de ses métadonnées intrinsèques et de sa taxonomie propre. Cette isolation protège l'opérateur en mission contre toute régression silencieuse et garantit que chaque version déployée répond à des spécifications mathématiques auditées.</w:t>
      </w:r>
    </w:p>
    <w:p w14:paraId="4DB452BB" w14:textId="183099AA" w:rsidR="00F85032" w:rsidRDefault="00000000">
      <w:pPr>
        <w:pStyle w:val="Titre2"/>
      </w:pPr>
      <w:r>
        <w:t xml:space="preserve">2.1 </w:t>
      </w:r>
      <w:r w:rsidR="008F112D" w:rsidRPr="008F112D">
        <w:t>Accès aux données et aux codes</w:t>
      </w:r>
    </w:p>
    <w:p w14:paraId="382AA32E" w14:textId="77777777" w:rsidR="008F112D" w:rsidRPr="008F112D" w:rsidRDefault="008F112D" w:rsidP="008F112D">
      <w:r w:rsidRPr="008F112D">
        <w:t>Pour respecter la contrainte d'exploitation en milieu maritime isolé, le code source et la gestion des données ont été organisés autour d'une arborescence stricte et déterministe. Le référentiel applicatif est structuré de sorte que les codes d'ingénierie, les scripts d'entraînement et les modules de post-traitement soient compartimentés dans des répertoires distincts, évitant les importations circulaires et facilitant le passage de relais technique.</w:t>
      </w:r>
    </w:p>
    <w:p w14:paraId="0FADED13" w14:textId="7C5001FD" w:rsidR="008F112D" w:rsidRDefault="008F112D" w:rsidP="008F112D">
      <w:r w:rsidRPr="008F112D">
        <w:t xml:space="preserve">Les données sources, en raison de leur volume considérable excédant fréquemment plusieurs dizaines de gigaoctets pour les </w:t>
      </w:r>
      <w:proofErr w:type="spellStart"/>
      <w:r w:rsidRPr="008F112D">
        <w:t>orthomosaïques</w:t>
      </w:r>
      <w:proofErr w:type="spellEnd"/>
      <w:r w:rsidRPr="008F112D">
        <w:t xml:space="preserve"> géoréférencées, font l'objet d'un partitionnement local rigoureux. Un système d'indexation décentralisé garantit que les chemins d'accès ne dépendent jamais d'une configuration machine absolue, permettant l'exécution indifférente du pipeline sous des environnements de travail variés, qu'il s'agisse de postes de calcul fixes ou d'ordinateurs portables embarqués à bord du navire.</w:t>
      </w:r>
    </w:p>
    <w:p w14:paraId="4667BF20" w14:textId="356865C8" w:rsidR="00F85032" w:rsidRDefault="00000000">
      <w:pPr>
        <w:pStyle w:val="Titre2"/>
      </w:pPr>
      <w:r>
        <w:lastRenderedPageBreak/>
        <w:t xml:space="preserve">2.2 </w:t>
      </w:r>
      <w:r w:rsidR="008F112D" w:rsidRPr="008F112D">
        <w:rPr>
          <w:sz w:val="28"/>
          <w:szCs w:val="28"/>
        </w:rPr>
        <w:t>Principe de fonctionnement</w:t>
      </w:r>
    </w:p>
    <w:p w14:paraId="69D9E7C7" w14:textId="77777777" w:rsidR="008F112D" w:rsidRDefault="008F112D" w:rsidP="008F112D">
      <w:r>
        <w:t xml:space="preserve">Le fonctionnement séquentiel de </w:t>
      </w:r>
      <w:proofErr w:type="spellStart"/>
      <w:r>
        <w:t>PixelOdyssey</w:t>
      </w:r>
      <w:proofErr w:type="spellEnd"/>
      <w:r>
        <w:t xml:space="preserve"> transforme une donnée brute non structurée en une couche géographique d'aide à la décision. Lorsque des imageries aériennes sont soumises au système, celui-ci effectue en premier lieu une validation de l'intégrité géométrique et technique des fichiers. S'ensuit une phase de découpage dynamique, indispensable pour confronter des images à très haute résolution spatiale aux dimensions d'entrée normalisées des réseaux de neurones </w:t>
      </w:r>
      <w:proofErr w:type="spellStart"/>
      <w:r>
        <w:t>convolutionnels</w:t>
      </w:r>
      <w:proofErr w:type="spellEnd"/>
      <w:r>
        <w:t xml:space="preserve"> profonds.</w:t>
      </w:r>
    </w:p>
    <w:p w14:paraId="679DB7F3" w14:textId="77777777" w:rsidR="008F112D" w:rsidRDefault="008F112D" w:rsidP="008F112D"/>
    <w:p w14:paraId="735D7C71" w14:textId="28A6CC61" w:rsidR="008F112D" w:rsidRDefault="008F112D" w:rsidP="008F112D">
      <w:r>
        <w:t>Chaque fragment d'image traverse ensuite le modèle de vision qui lui assigne des masques d'objets associés à des scores de confiance statistique. Les coordonnées locales en pixels sont alors reprojetées dans l'espace géographique réel à l'aide des métadonnées de vol ou des grilles de projection cartographique associées. Enfin, un moteur de dédoublonnage consolide les prédictions multiples issues des zones de recouvrement visuel, avant qu'un module physique ne traduise ces surfaces agrégées en indicateurs surfaciques et massiques directement visualisables sur une interface cartographique interactive autonome.</w:t>
      </w:r>
    </w:p>
    <w:p w14:paraId="2282246F" w14:textId="5304F7A6" w:rsidR="00F85032" w:rsidRDefault="00000000">
      <w:pPr>
        <w:pStyle w:val="Titre2"/>
      </w:pPr>
      <w:r>
        <w:t xml:space="preserve">2.3 </w:t>
      </w:r>
      <w:r w:rsidR="008F112D" w:rsidRPr="008F112D">
        <w:t>Dépendances logicielles et matérielles</w:t>
      </w:r>
    </w:p>
    <w:p w14:paraId="4CCE2C52" w14:textId="05BE61B5" w:rsidR="008F112D" w:rsidRDefault="008F112D" w:rsidP="008F112D">
      <w:r>
        <w:t xml:space="preserve">L'ensemble de la chaîne logicielle a été développé en Python 3.10, en sélectionnant exclusivement des bibliothèques robustes et pérennes. Le cœur de vision artificielle s'appuie sur la suite </w:t>
      </w:r>
      <w:proofErr w:type="spellStart"/>
      <w:r>
        <w:t>Ultralytics</w:t>
      </w:r>
      <w:proofErr w:type="spellEnd"/>
      <w:r>
        <w:t xml:space="preserve"> pour l'exécution et l'optimisation des modèles de la famille YOLO11, interfacée avec </w:t>
      </w:r>
      <w:proofErr w:type="spellStart"/>
      <w:r>
        <w:t>PyTorch</w:t>
      </w:r>
      <w:proofErr w:type="spellEnd"/>
      <w:r>
        <w:t xml:space="preserve">. La manipulation géospatiale des rasters et la conservation des coordonnées géographiques s'appuient sur </w:t>
      </w:r>
      <w:proofErr w:type="spellStart"/>
      <w:r>
        <w:t>Rasterio</w:t>
      </w:r>
      <w:proofErr w:type="spellEnd"/>
      <w:r>
        <w:t xml:space="preserve">, GDAL et </w:t>
      </w:r>
      <w:proofErr w:type="spellStart"/>
      <w:r>
        <w:t>Shapely</w:t>
      </w:r>
      <w:proofErr w:type="spellEnd"/>
      <w:r>
        <w:t>, qui assurent une précision géométrique rigoureuse lors des opérations affines.</w:t>
      </w:r>
    </w:p>
    <w:p w14:paraId="37473436" w14:textId="1C87185D" w:rsidR="008F112D" w:rsidRDefault="008F112D" w:rsidP="008F112D">
      <w:r>
        <w:t xml:space="preserve">Pour les traitements visuels et le recalage d'images, </w:t>
      </w:r>
      <w:proofErr w:type="spellStart"/>
      <w:r>
        <w:t>OpenCV</w:t>
      </w:r>
      <w:proofErr w:type="spellEnd"/>
      <w:r>
        <w:t xml:space="preserve"> fournit les primitives nécessaires, tandis que </w:t>
      </w:r>
      <w:proofErr w:type="spellStart"/>
      <w:r>
        <w:t>GeoPandas</w:t>
      </w:r>
      <w:proofErr w:type="spellEnd"/>
      <w:r>
        <w:t xml:space="preserve"> et </w:t>
      </w:r>
      <w:proofErr w:type="spellStart"/>
      <w:r>
        <w:t>Folium</w:t>
      </w:r>
      <w:proofErr w:type="spellEnd"/>
      <w:r>
        <w:t xml:space="preserve"> génèrent les interfaces cartographiques vectorielles au format HTML. Sur le plan matériel, l'ensemble du système a été calibré pour être autonome vis-à-vis des infrastructures distantes d'inférence en ligne : bien qu'un processeur graphique dédié accélère considérablement l'inférence, le pipeline de production demeure entièrement fonctionnel sur des architectures CPU standard, assurant une disponibilité totale même en cas de panne de l'accélérateur matériel en mer.</w:t>
      </w:r>
    </w:p>
    <w:p w14:paraId="12287281" w14:textId="5DE679A5" w:rsidR="00F85032" w:rsidRDefault="00000000">
      <w:pPr>
        <w:pStyle w:val="Titre1"/>
        <w:pageBreakBefore/>
      </w:pPr>
      <w:r>
        <w:lastRenderedPageBreak/>
        <w:t xml:space="preserve">3. </w:t>
      </w:r>
      <w:r w:rsidR="008F112D" w:rsidRPr="008F112D">
        <w:t>Données sources : acquisitions, formats et transformations</w:t>
      </w:r>
    </w:p>
    <w:p w14:paraId="66CC17C1" w14:textId="3AA1FE45" w:rsidR="00F85032" w:rsidRDefault="00000000">
      <w:pPr>
        <w:pStyle w:val="Titre2"/>
      </w:pPr>
      <w:r>
        <w:t xml:space="preserve">3.1 </w:t>
      </w:r>
      <w:r w:rsidR="008F112D" w:rsidRPr="008F112D">
        <w:t>Sites et méthodes de collecte</w:t>
      </w:r>
    </w:p>
    <w:p w14:paraId="2387CA9D" w14:textId="2C242C45" w:rsidR="00F85032" w:rsidRDefault="008F112D" w:rsidP="008F112D">
      <w:r w:rsidRPr="008F112D">
        <w:t>La constitution du jeu de données repose sur des campagnes de vol menées sur trois sites géographiques distincts, caractérisés par des dynamiques littorales et des typologies de sédiments très contrastées : l'atoll d'Aldabra, les îles de Saint-Brandon et l'île de Santa Luzia au Cap-Vert. Au total, onze campagnes de vol ont permis de rassembler 536 photographies aériennes mères exploitables, documentant des conditions environnementales représentatives des littoraux exposés aux courants océaniques majeurs.</w:t>
      </w:r>
    </w:p>
    <w:p w14:paraId="6386D499" w14:textId="4696E964" w:rsidR="008F112D" w:rsidRDefault="008F112D" w:rsidP="008F112D">
      <w:pPr>
        <w:jc w:val="center"/>
      </w:pPr>
      <w:r w:rsidRPr="00292CD2">
        <w:rPr>
          <w:noProof/>
        </w:rPr>
        <w:drawing>
          <wp:inline distT="0" distB="0" distL="0" distR="0" wp14:anchorId="26848C2E" wp14:editId="460274F0">
            <wp:extent cx="4273550" cy="3066023"/>
            <wp:effectExtent l="0" t="0" r="0" b="1270"/>
            <wp:docPr id="22380107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3801078" name=""/>
                    <pic:cNvPicPr/>
                  </pic:nvPicPr>
                  <pic:blipFill>
                    <a:blip r:embed="rId6"/>
                    <a:stretch>
                      <a:fillRect/>
                    </a:stretch>
                  </pic:blipFill>
                  <pic:spPr>
                    <a:xfrm>
                      <a:off x="0" y="0"/>
                      <a:ext cx="4276587" cy="3068202"/>
                    </a:xfrm>
                    <a:prstGeom prst="rect">
                      <a:avLst/>
                    </a:prstGeom>
                  </pic:spPr>
                </pic:pic>
              </a:graphicData>
            </a:graphic>
          </wp:inline>
        </w:drawing>
      </w:r>
    </w:p>
    <w:p w14:paraId="0F93EC06" w14:textId="7FA7CD95" w:rsidR="008F112D" w:rsidRDefault="008F112D" w:rsidP="008F112D">
      <w:r w:rsidRPr="008F112D">
        <w:t>Les acquisitions ont été réalisées à l'aide de vecteurs aériens légers de type DJI Air 2S, évoluant à des altitudes de vol comprises généralement entre quinze et trente mètres au-dessus du sol. Ces hauteurs permettent d'obtenir une résolution spatiale au sol, ou Ground Sample Distance ($GSD$), inférieure au centimètre par pixel, condition sine qua non pour espérer discriminer de petits débris plastiques. Les capteurs d'origine produisent des fichiers d'une définition native de $5472 \times 3648$ pixels. Ces images subissent une compression JPEG native imposée par le micrologiciel de l'appareil, introduisant d'emblée des artefacts de compression haute fréquence sur lesquels le pipeline de traitement ne dispose d'aucun levier de contrôle amont.</w:t>
      </w:r>
    </w:p>
    <w:p w14:paraId="2B74B29E" w14:textId="11F448B9" w:rsidR="00F85032" w:rsidRDefault="00000000">
      <w:pPr>
        <w:pStyle w:val="Titre2"/>
      </w:pPr>
      <w:r>
        <w:t xml:space="preserve">3.2 </w:t>
      </w:r>
      <w:r w:rsidR="008F112D" w:rsidRPr="008F112D">
        <w:t xml:space="preserve">Production des </w:t>
      </w:r>
      <w:proofErr w:type="spellStart"/>
      <w:r w:rsidR="008F112D" w:rsidRPr="008F112D">
        <w:t>orthomosaïques</w:t>
      </w:r>
      <w:proofErr w:type="spellEnd"/>
    </w:p>
    <w:p w14:paraId="665FC138" w14:textId="77777777" w:rsidR="008F112D" w:rsidRDefault="008F112D" w:rsidP="008F112D">
      <w:r>
        <w:t xml:space="preserve">Pour cartographier de vastes portions de plage d'un seul tenant, les séries de clichés acquises selon des plans de vol en grille avec fort recouvrement longitudinal et latéral font l'objet d'une reconstruction photogrammétrique par Structure </w:t>
      </w:r>
      <w:proofErr w:type="spellStart"/>
      <w:r>
        <w:t>from</w:t>
      </w:r>
      <w:proofErr w:type="spellEnd"/>
      <w:r>
        <w:t xml:space="preserve"> Motion (</w:t>
      </w:r>
      <w:proofErr w:type="spellStart"/>
      <w:r>
        <w:t>SfM</w:t>
      </w:r>
      <w:proofErr w:type="spellEnd"/>
      <w:r>
        <w:t xml:space="preserve">) via le logiciel </w:t>
      </w:r>
      <w:proofErr w:type="spellStart"/>
      <w:r>
        <w:t>WebODM</w:t>
      </w:r>
      <w:proofErr w:type="spellEnd"/>
      <w:r>
        <w:t xml:space="preserve">. Ce traitement assemble plusieurs centaines de clichés individuels en une toile géoréférencée unique, enregistrée sous la forme d'un </w:t>
      </w:r>
      <w:proofErr w:type="spellStart"/>
      <w:r>
        <w:t>GeoTIFF</w:t>
      </w:r>
      <w:proofErr w:type="spellEnd"/>
      <w:r>
        <w:t xml:space="preserve"> d'un poids pouvant atteindre plusieurs gigaoctets.</w:t>
      </w:r>
    </w:p>
    <w:p w14:paraId="0284726A" w14:textId="77777777" w:rsidR="008F112D" w:rsidRDefault="008F112D" w:rsidP="008F112D"/>
    <w:p w14:paraId="3AA40DFA" w14:textId="2E2603A8" w:rsidR="00F85032" w:rsidRDefault="008F112D" w:rsidP="008F112D">
      <w:r>
        <w:t xml:space="preserve">Cette approche fournit une géométrie globale cohérente de la zone d'étude, mais elle présente deux contreparties majeures. D'une part, le coût computationnel d'une telle reconstruction est très élevé, exigeant souvent plusieurs heures de calcul par site, ce qui empêche une restitution immédiate des résultats lors des débarquements. D'autre part, la reconstruction </w:t>
      </w:r>
      <w:proofErr w:type="spellStart"/>
      <w:r>
        <w:t>SfM</w:t>
      </w:r>
      <w:proofErr w:type="spellEnd"/>
      <w:r>
        <w:t xml:space="preserve"> échoue régulièrement à faire correspondre des points homologues sur les zones d'eau mouvante, d'écume côtière ou de sable mouillé homogène, générant des artefacts de déchirement ou des flous locaux. De surcroît, le pipeline d'ingestion actuel fait le choix délibéré </w:t>
      </w:r>
      <w:r>
        <w:lastRenderedPageBreak/>
        <w:t>de ne lire que les trois canaux chromatiques rouge, vert et bleu (RGB) du fichier raster, ignorant systématiquement toute bande additionnelle telle qu'un canal de transparence alpha ou une éventuelle bande proche-infrarouge. L'impact réel de cette omission demeure limité à ce jour, les capteurs utilisés étant exclusivement trichromatiques, mais elle constitue une hypothèse technique documentée pour l'avenir.</w:t>
      </w:r>
    </w:p>
    <w:p w14:paraId="42B8F893" w14:textId="0FCB6907" w:rsidR="00F85032" w:rsidRDefault="00000000">
      <w:pPr>
        <w:pStyle w:val="Titre2"/>
      </w:pPr>
      <w:r>
        <w:t xml:space="preserve">3.3 </w:t>
      </w:r>
      <w:r w:rsidR="008F112D" w:rsidRPr="008F112D">
        <w:t>Préparation des annotations</w:t>
      </w:r>
    </w:p>
    <w:p w14:paraId="16624B25" w14:textId="77777777" w:rsidR="008F112D" w:rsidRDefault="008F112D" w:rsidP="008F112D">
      <w:r>
        <w:t xml:space="preserve">L'annotation de débris anthropiques sur des imageries aériennes constitue une tâche ardue en raison de la multiplicité des échelles, des dégradations physiques subies par les matériaux sous l'effet des rayonnements ultraviolets et de leur ensablement partiel. Pour </w:t>
      </w:r>
      <w:proofErr w:type="spellStart"/>
      <w:r>
        <w:t>PixelOdyssey</w:t>
      </w:r>
      <w:proofErr w:type="spellEnd"/>
      <w:r>
        <w:t>, la vérité terrain a été établie sous forme de masques polygonaux vectoriels détourant individuellement chaque objet au pixel près, plutôt que de simples boîtes englobantes.</w:t>
      </w:r>
    </w:p>
    <w:p w14:paraId="21CC76A9" w14:textId="3BF0E4B9" w:rsidR="001967AA" w:rsidRPr="001967AA" w:rsidRDefault="001967AA" w:rsidP="008F112D">
      <w:pPr>
        <w:rPr>
          <w:i/>
          <w:iCs/>
        </w:rPr>
      </w:pPr>
      <w:r>
        <w:rPr>
          <w:i/>
          <w:iCs/>
        </w:rPr>
        <w:t>Exemple à insérer</w:t>
      </w:r>
    </w:p>
    <w:p w14:paraId="06A8608B" w14:textId="75F5DE62" w:rsidR="00F85032" w:rsidRDefault="008F112D" w:rsidP="008F112D">
      <w:r>
        <w:t xml:space="preserve">Ces annotations ont été produites de manière incrémentale, lot par lot, en recourant initialement à des vocabulaires locaux propres aux opérateurs de chaque mission. Cette disparité sémantique initiale constituait un écueil méthodologique majeur. Plutôt que de contraindre a posteriori les annotateurs à réviser manuellement des milliers d'objets, le pipeline intègre une table de transcodage dynamique. Ce registre unifié prend en charge les synonymies locales, remappe les sous-classes vers les catégories pivot officielles du projet et isole les classes expérimentales sans </w:t>
      </w:r>
      <w:proofErr w:type="gramStart"/>
      <w:r>
        <w:t>qu'il soit jamais</w:t>
      </w:r>
      <w:proofErr w:type="gramEnd"/>
      <w:r>
        <w:t xml:space="preserve"> nécessaire de modifier le code applicatif fondamental.</w:t>
      </w:r>
    </w:p>
    <w:p w14:paraId="048C6BCC" w14:textId="3B7F4CFC" w:rsidR="00F85032" w:rsidRDefault="00000000">
      <w:pPr>
        <w:pStyle w:val="Titre2"/>
      </w:pPr>
      <w:r>
        <w:t xml:space="preserve">3.4 </w:t>
      </w:r>
      <w:r w:rsidR="001967AA" w:rsidRPr="001967AA">
        <w:t xml:space="preserve">Analyse du </w:t>
      </w:r>
      <w:proofErr w:type="spellStart"/>
      <w:r w:rsidR="001967AA" w:rsidRPr="001967AA">
        <w:t>dataset</w:t>
      </w:r>
      <w:proofErr w:type="spellEnd"/>
      <w:r w:rsidR="001967AA" w:rsidRPr="001967AA">
        <w:t xml:space="preserve"> disponible</w:t>
      </w:r>
    </w:p>
    <w:p w14:paraId="31C61E59" w14:textId="0E9EA7DD" w:rsidR="001967AA" w:rsidRDefault="001967AA" w:rsidP="001967AA">
      <w:r>
        <w:t>Le référentiel global consolidé regroupe 3361 instances individuelles de déchets réparties à travers les 536 images sources. Une analyse de la distribution des effectifs met immédiatement en évidence une asymétrie statistique sévère. Une classe générique et polymorphe, désignée comme « fourre-tout », rassemble à elle seule 2528 instances, soit plus de 75 % de l'échantillon global (cf. Annexe 1 : Répartition quantitative du jeu de données par classe et par site).</w:t>
      </w:r>
    </w:p>
    <w:p w14:paraId="2494C5CE" w14:textId="18870384" w:rsidR="00F85032" w:rsidRDefault="001967AA" w:rsidP="001967AA">
      <w:r>
        <w:t>Cette hétérogénéité n'est pas uniquement numérique ; elle est également spatiale et contextuelle. Certaines classes d'objets spécifiques, telles que les caisses ajourées de manutention ou les sandales de type tongs, n'ont été observées de façon significative que sur les plages de Santa Luzia, tandis qu'elles sont quasi absentes des campagnes de l'océan Indien. Cette corrélation forte entre la signature géochimique du sol d'un site et la présence de certaines classes d'objets induit un risque élevé de confusion pour les réseaux profonds, qui tendent à associer la détection d'une typologie d'objet aux caractéristiques colorimétriques du substrat sédimentaire environnant plutôt qu'à sa morphologie propre.</w:t>
      </w:r>
    </w:p>
    <w:p w14:paraId="3DE18B4A" w14:textId="256D6C70" w:rsidR="00F85032" w:rsidRDefault="00000000">
      <w:pPr>
        <w:pStyle w:val="Titre1"/>
        <w:pageBreakBefore/>
      </w:pPr>
      <w:r>
        <w:lastRenderedPageBreak/>
        <w:t xml:space="preserve">4. </w:t>
      </w:r>
      <w:r w:rsidR="001967AA" w:rsidRPr="001967AA">
        <w:t>Entraînement et développement du modèle</w:t>
      </w:r>
    </w:p>
    <w:p w14:paraId="4C22010E" w14:textId="43EE3CDF" w:rsidR="00F85032" w:rsidRDefault="00000000">
      <w:pPr>
        <w:pStyle w:val="Titre2"/>
      </w:pPr>
      <w:r>
        <w:t xml:space="preserve">4.1 </w:t>
      </w:r>
      <w:r w:rsidR="001967AA" w:rsidRPr="001967AA">
        <w:t>Principe et contraintes de la segmentation en Computer Vision</w:t>
      </w:r>
    </w:p>
    <w:p w14:paraId="0035C8D2" w14:textId="154A87A1" w:rsidR="001967AA" w:rsidRDefault="001967AA" w:rsidP="001967AA">
      <w:r>
        <w:t xml:space="preserve">La quantification rigoureuse d'une pollution littorale exige de dépasser la simple détection d'objets. En vision par ordinateur conventionnelle, la détection consiste à prédire les coordonnées d'un rectangle englobant l'élément repéré. Dans le contexte de </w:t>
      </w:r>
      <w:proofErr w:type="spellStart"/>
      <w:r>
        <w:t>PixelOdyssey</w:t>
      </w:r>
      <w:proofErr w:type="spellEnd"/>
      <w:r>
        <w:t>, une telle approximation géométrique est disqualifiante</w:t>
      </w:r>
      <w:r>
        <w:t xml:space="preserve"> </w:t>
      </w:r>
      <w:r>
        <w:t>: assigner une boîte englobante à une corde étirée en diagonale, à un fragment de filet étalé ou à une bouteille couchée conduit à une surestimation massive de la surface apparente de l'objet, l'aire du rectangle pouvant excéder de plusieurs ordres de grandeur l'aire réelle du déchet.</w:t>
      </w:r>
    </w:p>
    <w:p w14:paraId="492ABB10" w14:textId="2A65D484" w:rsidR="00F85032" w:rsidRDefault="001967AA" w:rsidP="001967AA">
      <w:r>
        <w:t>Puisque le but ultime est d'appliquer un modèle physique traduisant une surface projetée au sol en une estimation massique, le recours à la segmentation d'instance s'impose comme une nécessité mathématique. La segmentation d'instance associe à chaque objet individuel une étiquette sémantique et un masque binaire booléen définissant avec exactitude les pixels appartenant au déchet. Pour relever ce défi sous contrainte d'</w:t>
      </w:r>
      <w:proofErr w:type="spellStart"/>
      <w:r>
        <w:t>embarquabilité</w:t>
      </w:r>
      <w:proofErr w:type="spellEnd"/>
      <w:r>
        <w:t>, le choix s'est porté sur l'architecture YOLO11-seg. Contrairement aux réseaux à deux étapes tels que Mask R-CNN, qui génèrent d'abord des propositions de régions avant d'en segmenter le contenu au prix d'un temps de calcul rédhibitoire, YOLO11-seg fonctionne en une passe unique. Le réseau prédit simultanément les vecteurs de probabilité de classe, les coordonnées de centrage et des coefficients de combinaison linéaire appliqués à une base de prototypes de masques calculée pour l'ensemble de l'image.</w:t>
      </w:r>
    </w:p>
    <w:p w14:paraId="4C808E30" w14:textId="0D24763E" w:rsidR="001967AA" w:rsidRPr="001967AA" w:rsidRDefault="001967AA" w:rsidP="001967AA">
      <w:pPr>
        <w:rPr>
          <w:i/>
          <w:iCs/>
        </w:rPr>
      </w:pPr>
      <w:r w:rsidRPr="001967AA">
        <w:rPr>
          <w:i/>
          <w:iCs/>
        </w:rPr>
        <w:t xml:space="preserve">[Insérer Figure 4 : Comparatif visuel de l'impact de la méthode d'estimation de surface : </w:t>
      </w:r>
      <w:proofErr w:type="spellStart"/>
      <w:r w:rsidRPr="001967AA">
        <w:rPr>
          <w:i/>
          <w:iCs/>
        </w:rPr>
        <w:t>Bounding</w:t>
      </w:r>
      <w:proofErr w:type="spellEnd"/>
      <w:r w:rsidRPr="001967AA">
        <w:rPr>
          <w:i/>
          <w:iCs/>
        </w:rPr>
        <w:t xml:space="preserve"> Box rectangulaire versus Masque de segmentation polygonal sur des objets filiformes et asymétriques]</w:t>
      </w:r>
    </w:p>
    <w:p w14:paraId="659D7531" w14:textId="6C3BC850" w:rsidR="001967AA" w:rsidRDefault="001967AA" w:rsidP="001967AA">
      <w:r w:rsidRPr="001967AA">
        <w:t>Une contrainte structurante de ces architectures réside dans leur résolution d'entrée standard, généralement fixée à $640 \times 640$ pixels. Une image drone native de plus de vingt mégapixels ne peut être injectée directement par simple sous-échantillonnage : réduire l'échelle globale de l'image d'un facteur huit conduirait à la disparition pure et simple des débris de petite taille, dont l'emprise physique ne représenterait plus qu'une fraction de pixel. Cette réalité technique impose d'adapter le flux de données en amont du modèle par une opération de tuilage géométrique.</w:t>
      </w:r>
    </w:p>
    <w:p w14:paraId="07571F5F" w14:textId="05740EC9" w:rsidR="00F85032" w:rsidRDefault="00000000">
      <w:pPr>
        <w:pStyle w:val="Titre2"/>
      </w:pPr>
      <w:r>
        <w:t xml:space="preserve">4.2 </w:t>
      </w:r>
      <w:r w:rsidR="001967AA" w:rsidRPr="001967AA">
        <w:t xml:space="preserve">Le travail sur le </w:t>
      </w:r>
      <w:proofErr w:type="spellStart"/>
      <w:r w:rsidR="001967AA" w:rsidRPr="001967AA">
        <w:t>dataset</w:t>
      </w:r>
      <w:proofErr w:type="spellEnd"/>
    </w:p>
    <w:p w14:paraId="47325B32" w14:textId="690B9427" w:rsidR="00F85032" w:rsidRPr="001967AA" w:rsidRDefault="001967AA" w:rsidP="001967AA">
      <w:pPr>
        <w:pStyle w:val="Titre3"/>
      </w:pPr>
      <w:r>
        <w:t>4.2.1 Préparation des données et tuilage</w:t>
      </w:r>
    </w:p>
    <w:p w14:paraId="34C9D594" w14:textId="77777777" w:rsidR="001967AA" w:rsidRPr="001967AA" w:rsidRDefault="001967AA" w:rsidP="001967AA">
      <w:r w:rsidRPr="001967AA">
        <w:t>L'ingestion des images parentes repose sur un algorithme de découpage systématique en fenêtres glissantes de $640 \times 640$ pixels. Afin d'éviter qu'un déchet situé sur la ligne de démarcation entre deux tuiles adjacentes ne soit tronqué et rendu méconnaissable pour le réseau, un chevauchement spatial de 256 pixels a été instauré dans les deux directions cardinales. Cette valeur garantit théoriquement que tout déchet dont les dimensions n'excèdent pas 256 pixels apparaîtra au moins une fois dans son intégralité au sein d'une tuile donnée.</w:t>
      </w:r>
    </w:p>
    <w:p w14:paraId="3E137019" w14:textId="77777777" w:rsidR="001967AA" w:rsidRPr="001967AA" w:rsidRDefault="001967AA" w:rsidP="001967AA">
      <w:r w:rsidRPr="001967AA">
        <w:t xml:space="preserve">Toutefois, cette méthode engendre une limite géométrique pour les objets de morphologie très allongée, comme les cordages ou les grands fragments de filets, qui traversent fréquemment plusieurs fenêtres successives sans jamais pouvoir être observés dans leur globalité. Un filtre d'exclusion systématique élimine par ailleurs les tuiles contenant une proportion majoritaire de bandes noires, issues des déformations géométriques de reprojection des </w:t>
      </w:r>
      <w:proofErr w:type="spellStart"/>
      <w:r w:rsidRPr="001967AA">
        <w:t>orthomosaïques</w:t>
      </w:r>
      <w:proofErr w:type="spellEnd"/>
      <w:r w:rsidRPr="001967AA">
        <w:t>, réduisant ainsi la charge de calcul inutile.</w:t>
      </w:r>
    </w:p>
    <w:p w14:paraId="2C0620B9" w14:textId="77777777" w:rsidR="001967AA" w:rsidRDefault="001967AA" w:rsidP="001967AA"/>
    <w:sectPr w:rsidR="001967AA">
      <w:pgSz w:w="11906" w:h="16838"/>
      <w:pgMar w:top="1134" w:right="1134" w:bottom="1134" w:left="1134"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F07DDB"/>
    <w:multiLevelType w:val="hybridMultilevel"/>
    <w:tmpl w:val="0F906F1C"/>
    <w:lvl w:ilvl="0" w:tplc="15968D0C">
      <w:start w:val="1"/>
      <w:numFmt w:val="bullet"/>
      <w:lvlText w:val="●"/>
      <w:lvlJc w:val="left"/>
      <w:pPr>
        <w:ind w:left="720" w:hanging="360"/>
      </w:pPr>
    </w:lvl>
    <w:lvl w:ilvl="1" w:tplc="6CE86A40">
      <w:start w:val="1"/>
      <w:numFmt w:val="bullet"/>
      <w:lvlText w:val="○"/>
      <w:lvlJc w:val="left"/>
      <w:pPr>
        <w:ind w:left="1440" w:hanging="360"/>
      </w:pPr>
    </w:lvl>
    <w:lvl w:ilvl="2" w:tplc="AEFC9592">
      <w:start w:val="1"/>
      <w:numFmt w:val="bullet"/>
      <w:lvlText w:val="■"/>
      <w:lvlJc w:val="left"/>
      <w:pPr>
        <w:ind w:left="2160" w:hanging="360"/>
      </w:pPr>
    </w:lvl>
    <w:lvl w:ilvl="3" w:tplc="747675FA">
      <w:start w:val="1"/>
      <w:numFmt w:val="bullet"/>
      <w:lvlText w:val="●"/>
      <w:lvlJc w:val="left"/>
      <w:pPr>
        <w:ind w:left="2880" w:hanging="360"/>
      </w:pPr>
    </w:lvl>
    <w:lvl w:ilvl="4" w:tplc="711C9E9A">
      <w:start w:val="1"/>
      <w:numFmt w:val="bullet"/>
      <w:lvlText w:val="○"/>
      <w:lvlJc w:val="left"/>
      <w:pPr>
        <w:ind w:left="3600" w:hanging="360"/>
      </w:pPr>
    </w:lvl>
    <w:lvl w:ilvl="5" w:tplc="FCA2726A">
      <w:start w:val="1"/>
      <w:numFmt w:val="bullet"/>
      <w:lvlText w:val="■"/>
      <w:lvlJc w:val="left"/>
      <w:pPr>
        <w:ind w:left="4320" w:hanging="360"/>
      </w:pPr>
    </w:lvl>
    <w:lvl w:ilvl="6" w:tplc="CA34D944">
      <w:start w:val="1"/>
      <w:numFmt w:val="bullet"/>
      <w:lvlText w:val="●"/>
      <w:lvlJc w:val="left"/>
      <w:pPr>
        <w:ind w:left="5040" w:hanging="360"/>
      </w:pPr>
    </w:lvl>
    <w:lvl w:ilvl="7" w:tplc="966AC520">
      <w:start w:val="1"/>
      <w:numFmt w:val="bullet"/>
      <w:lvlText w:val="●"/>
      <w:lvlJc w:val="left"/>
      <w:pPr>
        <w:ind w:left="5760" w:hanging="360"/>
      </w:pPr>
    </w:lvl>
    <w:lvl w:ilvl="8" w:tplc="03BA78FA">
      <w:start w:val="1"/>
      <w:numFmt w:val="bullet"/>
      <w:lvlText w:val="●"/>
      <w:lvlJc w:val="left"/>
      <w:pPr>
        <w:ind w:left="6480" w:hanging="360"/>
      </w:pPr>
    </w:lvl>
  </w:abstractNum>
  <w:abstractNum w:abstractNumId="1" w15:restartNumberingAfterBreak="0">
    <w:nsid w:val="4C5F24A0"/>
    <w:multiLevelType w:val="hybridMultilevel"/>
    <w:tmpl w:val="17661D74"/>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 w15:restartNumberingAfterBreak="0">
    <w:nsid w:val="7AB12085"/>
    <w:multiLevelType w:val="hybridMultilevel"/>
    <w:tmpl w:val="1FD8EDE2"/>
    <w:lvl w:ilvl="0" w:tplc="040C000F">
      <w:start w:val="1"/>
      <w:numFmt w:val="decimal"/>
      <w:lvlText w:val="%1."/>
      <w:lvlJc w:val="left"/>
      <w:pPr>
        <w:ind w:left="720" w:hanging="360"/>
      </w:pPr>
      <w:rPr>
        <w:rFonts w:hint="default"/>
      </w:rPr>
    </w:lvl>
    <w:lvl w:ilvl="1" w:tplc="040C0019">
      <w:start w:val="1"/>
      <w:numFmt w:val="lowerLetter"/>
      <w:lvlText w:val="%2."/>
      <w:lvlJc w:val="left"/>
      <w:pPr>
        <w:ind w:left="1440" w:hanging="360"/>
      </w:pPr>
    </w:lvl>
    <w:lvl w:ilvl="2" w:tplc="040C001B">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num w:numId="1" w16cid:durableId="1992248749">
    <w:abstractNumId w:val="0"/>
    <w:lvlOverride w:ilvl="0">
      <w:startOverride w:val="1"/>
    </w:lvlOverride>
  </w:num>
  <w:num w:numId="2" w16cid:durableId="2139103250">
    <w:abstractNumId w:val="2"/>
  </w:num>
  <w:num w:numId="3" w16cid:durableId="88502938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85032"/>
    <w:rsid w:val="001967AA"/>
    <w:rsid w:val="00445DED"/>
    <w:rsid w:val="006949F1"/>
    <w:rsid w:val="008F112D"/>
    <w:rsid w:val="009172B5"/>
    <w:rsid w:val="00A534F3"/>
    <w:rsid w:val="00AD35A5"/>
    <w:rsid w:val="00B5402E"/>
    <w:rsid w:val="00CC7E87"/>
    <w:rsid w:val="00E11316"/>
    <w:rsid w:val="00F85032"/>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B1AED3"/>
  <w15:docId w15:val="{93518A6C-2634-4FA2-B420-ECF32D5E1D6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F112D"/>
    <w:pPr>
      <w:spacing w:after="200"/>
      <w:jc w:val="both"/>
    </w:pPr>
  </w:style>
  <w:style w:type="paragraph" w:styleId="Titre1">
    <w:name w:val="heading 1"/>
    <w:uiPriority w:val="9"/>
    <w:qFormat/>
    <w:pPr>
      <w:spacing w:before="480" w:after="240"/>
      <w:outlineLvl w:val="0"/>
    </w:pPr>
    <w:rPr>
      <w:b/>
      <w:bCs/>
      <w:color w:val="1F5C4A"/>
      <w:sz w:val="32"/>
      <w:szCs w:val="32"/>
    </w:rPr>
  </w:style>
  <w:style w:type="paragraph" w:styleId="Titre2">
    <w:name w:val="heading 2"/>
    <w:uiPriority w:val="9"/>
    <w:unhideWhenUsed/>
    <w:qFormat/>
    <w:pPr>
      <w:spacing w:before="340" w:after="160"/>
      <w:outlineLvl w:val="1"/>
    </w:pPr>
    <w:rPr>
      <w:b/>
      <w:bCs/>
      <w:color w:val="2E2E2E"/>
      <w:sz w:val="26"/>
      <w:szCs w:val="26"/>
    </w:rPr>
  </w:style>
  <w:style w:type="paragraph" w:styleId="Titre3">
    <w:name w:val="heading 3"/>
    <w:uiPriority w:val="9"/>
    <w:unhideWhenUsed/>
    <w:qFormat/>
    <w:rsid w:val="001967AA"/>
    <w:pPr>
      <w:spacing w:after="240"/>
      <w:outlineLvl w:val="2"/>
    </w:pPr>
    <w:rPr>
      <w:color w:val="1F4D78"/>
      <w:sz w:val="24"/>
      <w:szCs w:val="24"/>
    </w:rPr>
  </w:style>
  <w:style w:type="paragraph" w:styleId="Titre4">
    <w:name w:val="heading 4"/>
    <w:uiPriority w:val="9"/>
    <w:semiHidden/>
    <w:unhideWhenUsed/>
    <w:qFormat/>
    <w:pPr>
      <w:outlineLvl w:val="3"/>
    </w:pPr>
    <w:rPr>
      <w:i/>
      <w:iCs/>
      <w:color w:val="2E74B5"/>
    </w:rPr>
  </w:style>
  <w:style w:type="paragraph" w:styleId="Titre5">
    <w:name w:val="heading 5"/>
    <w:uiPriority w:val="9"/>
    <w:semiHidden/>
    <w:unhideWhenUsed/>
    <w:qFormat/>
    <w:pPr>
      <w:outlineLvl w:val="4"/>
    </w:pPr>
    <w:rPr>
      <w:color w:val="2E74B5"/>
    </w:rPr>
  </w:style>
  <w:style w:type="paragraph" w:styleId="Titre6">
    <w:name w:val="heading 6"/>
    <w:uiPriority w:val="9"/>
    <w:semiHidden/>
    <w:unhideWhenUsed/>
    <w:qFormat/>
    <w:pPr>
      <w:outlineLvl w:val="5"/>
    </w:pPr>
    <w:rPr>
      <w:color w:val="1F4D7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uiPriority w:val="10"/>
    <w:qFormat/>
    <w:rPr>
      <w:sz w:val="56"/>
      <w:szCs w:val="56"/>
    </w:rPr>
  </w:style>
  <w:style w:type="paragraph" w:customStyle="1" w:styleId="lev1">
    <w:name w:val="Élevé1"/>
    <w:qFormat/>
    <w:rPr>
      <w:b/>
      <w:bCs/>
    </w:rPr>
  </w:style>
  <w:style w:type="paragraph" w:styleId="Paragraphedeliste">
    <w:name w:val="List Paragraph"/>
    <w:qFormat/>
  </w:style>
  <w:style w:type="character" w:styleId="Lienhypertexte">
    <w:name w:val="Hyperlink"/>
    <w:uiPriority w:val="99"/>
    <w:unhideWhenUsed/>
    <w:rPr>
      <w:color w:val="0563C1"/>
      <w:u w:val="single"/>
    </w:rPr>
  </w:style>
  <w:style w:type="character" w:styleId="Appelnotedebasdep">
    <w:name w:val="footnote reference"/>
    <w:uiPriority w:val="99"/>
    <w:semiHidden/>
    <w:unhideWhenUsed/>
    <w:rPr>
      <w:vertAlign w:val="superscript"/>
    </w:rPr>
  </w:style>
  <w:style w:type="paragraph" w:styleId="Notedebasdepage">
    <w:name w:val="footnote text"/>
    <w:link w:val="NotedebasdepageCar"/>
    <w:uiPriority w:val="99"/>
    <w:semiHidden/>
    <w:unhideWhenUsed/>
    <w:rPr>
      <w:sz w:val="20"/>
      <w:szCs w:val="20"/>
    </w:rPr>
  </w:style>
  <w:style w:type="character" w:customStyle="1" w:styleId="NotedebasdepageCar">
    <w:name w:val="Note de bas de page Car"/>
    <w:link w:val="Notedebasdepage"/>
    <w:uiPriority w:val="99"/>
    <w:semiHidden/>
    <w:unhideWhenUsed/>
    <w:rPr>
      <w:sz w:val="20"/>
      <w:szCs w:val="20"/>
    </w:rPr>
  </w:style>
  <w:style w:type="character" w:styleId="Appeldenotedefin">
    <w:name w:val="endnote reference"/>
    <w:uiPriority w:val="99"/>
    <w:semiHidden/>
    <w:unhideWhenUsed/>
    <w:rPr>
      <w:vertAlign w:val="superscript"/>
    </w:rPr>
  </w:style>
  <w:style w:type="paragraph" w:styleId="Notedefin">
    <w:name w:val="endnote text"/>
    <w:link w:val="NotedefinCar"/>
    <w:uiPriority w:val="99"/>
    <w:semiHidden/>
    <w:unhideWhenUsed/>
    <w:rPr>
      <w:sz w:val="20"/>
      <w:szCs w:val="20"/>
    </w:rPr>
  </w:style>
  <w:style w:type="character" w:customStyle="1" w:styleId="NotedefinCar">
    <w:name w:val="Note de fin Car"/>
    <w:link w:val="Notedefin"/>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439</TotalTime>
  <Pages>7</Pages>
  <Words>2396</Words>
  <Characters>13183</Characters>
  <Application>Microsoft Office Word</Application>
  <DocSecurity>0</DocSecurity>
  <Lines>109</Lines>
  <Paragraphs>31</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15548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VALLETTE Jame</cp:lastModifiedBy>
  <cp:revision>4</cp:revision>
  <dcterms:created xsi:type="dcterms:W3CDTF">2026-09-07T15:17:00Z</dcterms:created>
  <dcterms:modified xsi:type="dcterms:W3CDTF">2026-09-09T21:49:00Z</dcterms:modified>
</cp:coreProperties>
</file>