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5A5A5A"/>
          <w:sz w:val="28"/>
          <w:szCs w:val="28"/>
        </w:rPr>
        <w:t xml:space="preserve">PLASTIC ODYSSEY</w:t>
      </w:r>
    </w:p>
    <w:p>
      <w:pPr>
        <w:spacing w:after="120"/>
        <w:jc w:val="center"/>
      </w:pPr>
      <w:r>
        <w:rPr>
          <w:b/>
          <w:bCs/>
          <w:color w:val="1F5C4A"/>
          <w:sz w:val="64"/>
          <w:szCs w:val="64"/>
        </w:rPr>
        <w:t xml:space="preserve">PixelOdyssey</w:t>
      </w:r>
    </w:p>
    <w:p>
      <w:pPr>
        <w:spacing w:after="60"/>
        <w:jc w:val="center"/>
      </w:pPr>
      <w:r>
        <w:rPr>
          <w:sz w:val="36"/>
          <w:szCs w:val="36"/>
        </w:rPr>
        <w:t xml:space="preserve">Fiches techniques : pipeline de données et d'entraînement</w:t>
      </w:r>
    </w:p>
    <w:p>
      <w:pPr>
        <w:spacing w:after="800"/>
        <w:jc w:val="center"/>
      </w:pPr>
      <w:r>
        <w:rPr>
          <w:i/>
          <w:iCs/>
          <w:color w:val="5A5A5A"/>
          <w:sz w:val="24"/>
          <w:szCs w:val="24"/>
        </w:rPr>
        <w:t xml:space="preserve">Générer une orthomosaïque, préparer le dataset, entraîner et évaluer un modèle</w:t>
      </w:r>
    </w:p>
    <w:p>
      <w:pPr>
        <w:spacing w:after="40"/>
        <w:jc w:val="center"/>
      </w:pPr>
      <w:r>
        <w:rPr>
          <w:color w:val="5A5A5A"/>
          <w:sz w:val="22"/>
          <w:szCs w:val="22"/>
        </w:rPr>
        <w:t xml:space="preserve">Document de travail, version de base</w:t>
      </w:r>
    </w:p>
    <w:p>
      <w:pPr>
        <w:spacing w:after="40"/>
        <w:jc w:val="center"/>
      </w:pPr>
      <w:r>
        <w:rPr>
          <w:color w:val="5A5A5A"/>
          <w:sz w:val="20"/>
          <w:szCs w:val="20"/>
        </w:rPr>
        <w:t xml:space="preserve">Préparé avec Claude, mentor de projet IA</w:t>
      </w:r>
    </w:p>
    <w:p>
      <w:pPr>
        <w:jc w:val="center"/>
      </w:pPr>
      <w:r>
        <w:rPr>
          <w:color w:val="5A5A5A"/>
          <w:sz w:val="20"/>
          <w:szCs w:val="20"/>
        </w:rPr>
        <w:t xml:space="preserve">Auteur : Jame Vallette, Plastic Odyssey</w:t>
      </w:r>
    </w:p>
    <w:p>
      <w:pPr>
        <w:pStyle w:val="Heading1"/>
        <w:pageBreakBefore/>
        <w:spacing w:after="240" w:before="480"/>
      </w:pPr>
      <w:r>
        <w:t xml:space="preserve">Avant-propos</w:t>
      </w:r>
    </w:p>
    <w:p>
      <w:pPr>
        <w:spacing w:after="200"/>
        <w:jc w:val="both"/>
      </w:pPr>
      <w:r>
        <w:rPr/>
        <w:t xml:space="preserve">Ce document rassemble les fiches techniques du pipeline PixelOdyssey : comment fonctionne, concrètement, chaque étape, et comment l'actionner soi-même. Il complète le rapport de bilan de projet, qui décrit l'architecture et les choix de méthode dans leurs grandes lignes sans entrer dans le détail opérationnel ; ce document descend d'un niveau, jusqu'aux dossiers, scripts et commandes réels, pour deux usages distincts : comprendre précisément comment chaque étape fonctionne aujourd'hui, et savoir l'actionner sans devoir relire le code.</w:t>
      </w:r>
    </w:p>
    <w:p>
      <w:pPr>
        <w:spacing w:after="200"/>
        <w:jc w:val="both"/>
      </w:pPr>
      <w:r>
        <w:rPr/>
        <w:t xml:space="preserve">Il couvre, dans l'ordre d'un usage réel : mettre en place l'environnement de travail, générer une orthomosaïque à partir d'un vol drone, préparer le dataset annoté pour l'entraînement (y compris sa mise à jour au fil de nouvelles données), lancer un entraînement et choisir ses paramètres, puis lire et comparer les résultats. Chaque partie s'ouvre sur le fonctionnement actuel (ce que fait réellement le code, et pourquoi) avant son propre guide d'utilisation (les commandes à taper, dans l'ordre où les taper). Le détail complet du raisonnement derrière chaque choix, avec ses dates et ses essais successifs, reste dans le journal de décisions du projet, qui fait foi en cas de doute ; ce document en condense la version directement actionnable.</w:t>
      </w:r>
    </w:p>
    <w:p>
      <w:pPr>
        <w:pStyle w:val="Heading1"/>
        <w:pageBreakBefore/>
        <w:spacing w:after="240" w:before="480"/>
      </w:pPr>
      <w:r>
        <w:t xml:space="preserve">Sommaire</w:t>
      </w:r>
    </w:p>
    <w:p>
      <w:pPr>
        <w:spacing w:after="60"/>
      </w:pPr>
      <w:r>
        <w:rPr>
          <w:color w:val="5A5A5A"/>
        </w:rPr>
        <w:t xml:space="preserve">1. Utilisation générale du projet</w:t>
      </w:r>
    </w:p>
    <w:p>
      <w:pPr>
        <w:spacing w:after="60"/>
      </w:pPr>
      <w:r>
        <w:rPr>
          <w:color w:val="5A5A5A"/>
        </w:rPr>
        <w:t xml:space="preserve">   1.1 Environnement Python</w:t>
      </w:r>
    </w:p>
    <w:p>
      <w:pPr>
        <w:spacing w:after="60"/>
      </w:pPr>
      <w:r>
        <w:rPr>
          <w:color w:val="5A5A5A"/>
        </w:rPr>
        <w:t xml:space="preserve">   1.2 Installation des dépendances</w:t>
      </w:r>
    </w:p>
    <w:p>
      <w:pPr>
        <w:spacing w:after="60"/>
      </w:pPr>
      <w:r>
        <w:rPr>
          <w:color w:val="5A5A5A"/>
        </w:rPr>
        <w:t xml:space="preserve">   1.3 Configuration des chemins</w:t>
      </w:r>
    </w:p>
    <w:p>
      <w:pPr>
        <w:spacing w:after="60"/>
      </w:pPr>
      <w:r>
        <w:rPr>
          <w:color w:val="5A5A5A"/>
        </w:rPr>
        <w:t xml:space="preserve">2. Générer une orthomosaïque avec WebODM</w:t>
      </w:r>
    </w:p>
    <w:p>
      <w:pPr>
        <w:spacing w:after="60"/>
      </w:pPr>
      <w:r>
        <w:rPr>
          <w:color w:val="5A5A5A"/>
        </w:rPr>
        <w:t xml:space="preserve">   2.1 Rôle dans le pipeline</w:t>
      </w:r>
    </w:p>
    <w:p>
      <w:pPr>
        <w:spacing w:after="60"/>
      </w:pPr>
      <w:r>
        <w:rPr>
          <w:color w:val="5A5A5A"/>
        </w:rPr>
        <w:t xml:space="preserve">   2.2 Guide d'utilisation</w:t>
      </w:r>
    </w:p>
    <w:p>
      <w:pPr>
        <w:spacing w:after="60"/>
      </w:pPr>
      <w:r>
        <w:rPr>
          <w:color w:val="5A5A5A"/>
        </w:rPr>
        <w:t xml:space="preserve">3. Préparation du dataset</w:t>
      </w:r>
    </w:p>
    <w:p>
      <w:pPr>
        <w:spacing w:after="60"/>
      </w:pPr>
      <w:r>
        <w:rPr>
          <w:color w:val="5A5A5A"/>
        </w:rPr>
        <w:t xml:space="preserve">   3.1 Fonctionnement actuel</w:t>
      </w:r>
    </w:p>
    <w:p>
      <w:pPr>
        <w:spacing w:after="60"/>
      </w:pPr>
      <w:r>
        <w:rPr>
          <w:color w:val="5A5A5A"/>
        </w:rPr>
        <w:t xml:space="preserve">   3.2 Guide d'utilisation, et mise à jour du dataset</w:t>
      </w:r>
    </w:p>
    <w:p>
      <w:pPr>
        <w:spacing w:after="60"/>
      </w:pPr>
      <w:r>
        <w:rPr>
          <w:color w:val="5A5A5A"/>
        </w:rPr>
        <w:t xml:space="preserve">4. Entraînement d'un modèle</w:t>
      </w:r>
    </w:p>
    <w:p>
      <w:pPr>
        <w:spacing w:after="60"/>
      </w:pPr>
      <w:r>
        <w:rPr>
          <w:color w:val="5A5A5A"/>
        </w:rPr>
        <w:t xml:space="preserve">   4.1 Fonctionnement actuel</w:t>
      </w:r>
    </w:p>
    <w:p>
      <w:pPr>
        <w:spacing w:after="60"/>
      </w:pPr>
      <w:r>
        <w:rPr>
          <w:color w:val="5A5A5A"/>
        </w:rPr>
        <w:t xml:space="preserve">   4.2 Guide d'utilisation</w:t>
      </w:r>
    </w:p>
    <w:p>
      <w:pPr>
        <w:spacing w:after="60"/>
      </w:pPr>
      <w:r>
        <w:rPr>
          <w:color w:val="5A5A5A"/>
        </w:rPr>
        <w:t xml:space="preserve">5. Lecture des résultats</w:t>
      </w:r>
    </w:p>
    <w:p>
      <w:pPr>
        <w:spacing w:after="60"/>
      </w:pPr>
      <w:r>
        <w:rPr>
          <w:color w:val="5A5A5A"/>
        </w:rPr>
        <w:t xml:space="preserve">   5.1 Fonctionnement actuel</w:t>
      </w:r>
    </w:p>
    <w:p>
      <w:pPr>
        <w:spacing w:after="60"/>
      </w:pPr>
      <w:r>
        <w:rPr>
          <w:color w:val="5A5A5A"/>
        </w:rPr>
        <w:t xml:space="preserve">   5.2 Guide d'utilisation</w:t>
      </w:r>
    </w:p>
    <w:p>
      <w:pPr>
        <w:pStyle w:val="Heading1"/>
        <w:pageBreakBefore/>
        <w:spacing w:after="240" w:before="480"/>
      </w:pPr>
      <w:r>
        <w:t xml:space="preserve">1. Utilisation générale du projet</w:t>
      </w:r>
    </w:p>
    <w:p>
      <w:pPr>
        <w:pStyle w:val="Heading2"/>
        <w:spacing w:after="160" w:before="340"/>
      </w:pPr>
      <w:r>
        <w:t xml:space="preserve">1.1 Environnement Python</w:t>
      </w:r>
    </w:p>
    <w:p>
      <w:pPr>
        <w:spacing w:after="200"/>
        <w:jc w:val="both"/>
      </w:pPr>
      <w:r>
        <w:rPr/>
        <w:t xml:space="preserve">Le pipeline n'a de dépendance dure à aucune version précise de Python, mais deux de ses bibliothèques imposent des contraintes réelles : rasterio (lecture des GeoTIFF, y compris le contournement du bug Windows décrit plus loin) embarque GDAL, une bibliothèque C avec ses propres dépendances système ; ultralytics fixe la version de torch qu'il tire avec lui. L'un et l'autre installent plus difficilement, et de façon moins reproductible d'une machine à l'autre, via un simple pip install dans un venv nu que via un environnement conda dédié à ce projet.</w:t>
      </w:r>
    </w:p>
    <w:p>
      <w:pPr>
        <w:spacing w:after="200"/>
        <w:jc w:val="both"/>
      </w:pPr>
      <w:r>
        <w:rPr/>
        <w:t xml:space="preserve">Recommandation retenue ici : un environnement conda nommé, par exemple pixelodyssey, plutôt qu'un venv standard. Miniconda est déjà installé sur ce poste ; conda-forge fournit une combinaison GDAL/PROJ/rasterio testée et cohérente sur Windows comme sur les autres OS, là où les wheels PyPI de rasterio sont plus sujettes à des conflits avec une éventuelle installation GDAL système. Python 3.10 ou 3.11 convient (plage compatible avec ultralytics et les wheels rasterio/GDAL disponibles à ce jour) ; à revérifier si l'une de ces deux dépendances est mise à jour vers une version qui resserre cette plage.</w:t>
      </w:r>
    </w:p>
    <w:p>
      <w:pPr>
        <w:pBdr>
          <w:left w:val="single" w:sz="18" w:space="8" w:color="1F5C4A"/>
        </w:pBdr>
        <w:shd w:val="clear" w:fill="F2F4F2"/>
        <w:spacing w:after="200" w:before="160"/>
        <w:ind w:left="0"/>
      </w:pPr>
      <w:r>
        <w:rPr>
          <w:rFonts w:ascii="Consolas" w:hAnsi="Consolas" w:cs="Consolas"/>
          <w:color w:val="1A1A1A"/>
          <w:sz w:val="19"/>
          <w:szCs w:val="19"/>
        </w:rPr>
        <w:t xml:space="preserve">conda create -n pixelodyssey python=3.10 -c conda-forge</w:t>
      </w:r>
    </w:p>
    <w:p>
      <w:pPr>
        <w:pBdr>
          <w:left w:val="single" w:sz="18" w:space="8" w:color="1F5C4A"/>
        </w:pBdr>
        <w:shd w:val="clear" w:fill="F2F4F2"/>
        <w:spacing w:after="200" w:before="0"/>
        <w:ind w:left="0"/>
      </w:pPr>
      <w:r>
        <w:rPr>
          <w:rFonts w:ascii="Consolas" w:hAnsi="Consolas" w:cs="Consolas"/>
          <w:color w:val="1A1A1A"/>
          <w:sz w:val="19"/>
          <w:szCs w:val="19"/>
        </w:rPr>
        <w:t xml:space="preserve">conda activate pixelodyssey</w:t>
      </w:r>
    </w:p>
    <w:p>
      <w:pPr>
        <w:pStyle w:val="Heading2"/>
        <w:spacing w:after="160" w:before="340"/>
      </w:pPr>
      <w:r>
        <w:t xml:space="preserve">1.2 Installation des dépendances</w:t>
      </w:r>
    </w:p>
    <w:p>
      <w:pPr>
        <w:spacing w:after="200"/>
        <w:jc w:val="both"/>
      </w:pPr>
      <w:r>
        <w:rPr/>
        <w:t xml:space="preserve">Toutes les dépendances Python du projet sont listées dans requirements.txt, à la racine du repo, avec un commentaire à chaque ajout expliquant pourquoi il a été nécessaire. Un audit mené le 08/09/2026 (comparaison systématique des imports réels du code source à ce fichier) a corrigé un écart : matplotlib, pandas et openpyxl, utilisés par les scripts de diagnostic dataset (src/data/diagnostics/), manquaient du fichier alors que déjà nécessaires en pratique — installer depuis une version antérieure de requirements.txt aurait fait échouer ces scripts précis dès leur premier lancement sur une machine neuve.</w:t>
      </w:r>
    </w:p>
    <w:p>
      <w:pPr>
        <w:spacing w:after="200"/>
        <w:jc w:val="both"/>
      </w:pPr>
      <w:r>
        <w:rPr/>
        <w:t xml:space="preserve">rasterio s'installe en premier, via conda-forge (la source la plus fiable pour son binaire GDAL sous Windows) ; le reste s'installe ensuite via pip, dans le même environnement conda activé — ces bibliothèques n'ont pas la même sensibilité binaire et s'installent proprement par pip sur les trois OS.</w:t>
      </w:r>
    </w:p>
    <w:p>
      <w:pPr>
        <w:pBdr>
          <w:left w:val="single" w:sz="18" w:space="8" w:color="1F5C4A"/>
        </w:pBdr>
        <w:shd w:val="clear" w:fill="F2F4F2"/>
        <w:spacing w:after="200" w:before="160"/>
        <w:ind w:left="0"/>
      </w:pPr>
      <w:r>
        <w:rPr>
          <w:rFonts w:ascii="Consolas" w:hAnsi="Consolas" w:cs="Consolas"/>
          <w:color w:val="1A1A1A"/>
          <w:sz w:val="19"/>
          <w:szCs w:val="19"/>
        </w:rPr>
        <w:t xml:space="preserve">conda install -c conda-forge rasterio</w:t>
      </w:r>
    </w:p>
    <w:p>
      <w:pPr>
        <w:pBdr>
          <w:left w:val="single" w:sz="18" w:space="8" w:color="1F5C4A"/>
        </w:pBdr>
        <w:shd w:val="clear" w:fill="F2F4F2"/>
        <w:spacing w:after="200" w:before="0"/>
        <w:ind w:left="0"/>
      </w:pPr>
      <w:r>
        <w:rPr>
          <w:rFonts w:ascii="Consolas" w:hAnsi="Consolas" w:cs="Consolas"/>
          <w:color w:val="1A1A1A"/>
          <w:sz w:val="19"/>
          <w:szCs w:val="19"/>
        </w:rPr>
        <w:t xml:space="preserve">pip install -r requirements.txt</w:t>
      </w:r>
    </w:p>
    <w:p>
      <w:pPr>
        <w:spacing w:after="200"/>
        <w:jc w:val="both"/>
      </w:pPr>
      <w:r>
        <w:rPr/>
        <w:t xml:space="preserve">Une fois l'installation terminée, une vérification rapide confirme que les imports critiques fonctionnent avant d'aller plus loin :</w:t>
      </w:r>
    </w:p>
    <w:p>
      <w:pPr>
        <w:pBdr>
          <w:left w:val="single" w:sz="18" w:space="8" w:color="1F5C4A"/>
        </w:pBdr>
        <w:shd w:val="clear" w:fill="F2F4F2"/>
        <w:spacing w:after="200" w:before="160"/>
        <w:ind w:left="0"/>
      </w:pPr>
      <w:r>
        <w:rPr>
          <w:rFonts w:ascii="Consolas" w:hAnsi="Consolas" w:cs="Consolas"/>
          <w:color w:val="1A1A1A"/>
          <w:sz w:val="19"/>
          <w:szCs w:val="19"/>
        </w:rPr>
        <w:t xml:space="preserve">python -c "import rasterio, cv2, ultralytics, matplotlib, pandas; print('OK')"</w:t>
      </w:r>
    </w:p>
    <w:p>
      <w:pPr>
        <w:pStyle w:val="Heading2"/>
        <w:spacing w:after="160" w:before="340"/>
      </w:pPr>
      <w:r>
        <w:t xml:space="preserve">1.3 Configuration des chemins</w:t>
      </w:r>
    </w:p>
    <w:p>
      <w:pPr>
        <w:spacing w:after="200"/>
        <w:jc w:val="both"/>
      </w:pPr>
      <w:r>
        <w:rPr/>
        <w:t xml:space="preserve">Le code et les données ne vivent pas au même endroit sur ce projet : le code est versionné dans ce repo, les données (dataset annoté, résultats, orthomosaïques) vivent sur un disque séparé, actuellement E:\PixelOdyssey. Cette séparation est délibérée (les données sont trop volumineuses et changeantes pour être versionnées avec le code — voir plus bas pourquoi le dataset ne doit pas non plus être poussé sur GitHub), mais elle a une conséquence directe : tout chemin qui pointe vers ce disque est, par construction, spécifique à cette machine, et la lettre de lecteur Windows d'un disque externe n'est elle-même pas garantie stable d'un branchement à l'autre.</w:t>
      </w:r>
    </w:p>
    <w:p>
      <w:pPr>
        <w:spacing w:after="200"/>
        <w:jc w:val="both"/>
      </w:pPr>
      <w:r>
        <w:rPr/>
        <w:t xml:space="preserve">src/paths_config.py (08/09/2026) centralise ce point : c'est le seul module du code qui connaît la racine du disque de données, résolue via la variable d'environnement PIXELODYSSEY_DATA_DIR si elle est définie, avec un repli sur E:\PixelOdyssey sinon — rien ne change dans l'usage actuel sans configuration. Si le disque n'est pas trouvé à l'emplacement résolu, une erreur explicite est levée dès l'import, avec la marche à suivre, plutôt qu'un FileNotFoundError générique loin de la vraie cause plus loin dans un script. Les six scripts qui exposaient jusqu'ici leur propre chemin codé en dur sans aucun moyen de le changer — split_dataset.py, augment_dataset.py, slice_dataset.py, label_review.py, visualize_annotations.py, visualize_predictions.py — importent désormais leur racine depuis ce module unique ; changer de disque ou de machine se fait donc à un seul endroit (PIXELODYSSEY_DATA_DIR), plus dans le code. Les scripts qui exposaient déjà un flag CLI dédié (--raw-dir/--output sur dataset_audit.py et dataset_diagnostic.py, --raw-path sur raw_dataset_checker.py, --results-dir sur assisted_annotate.py, --output-dir sur les scripts du pipeline d'application via src/application/paths.py) restent inchangés — c'est le même réflexe de fond, à reproduire pour tout nouveau script introduisant un chemin par défaut.</w:t>
      </w:r>
    </w:p>
    <w:p>
      <w:pPr>
        <w:spacing w:after="200"/>
        <w:jc w:val="both"/>
      </w:pPr>
      <w:r>
        <w:rPr/>
        <w:t xml:space="preserve">Une seule famille de chemins reste, à ce stade, non centralisée : la clé path: des quatre référentiels config/data_config*.yaml, lue directement par Ultralytics plutôt que par du code du projet, ce qui rend le détour par src/paths_config.py plus intrusif. Décision prise le 08/09/2026 : les documenter tels quels pour l'instant plutôt que les centraliser dans l'immédiat.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38"/>
        <w:gridCol w:w="2600"/>
        <w:gridCol w:w="3200"/>
      </w:tblGrid>
      <w:tr>
        <w:trPr>
          <w:tblHeader/>
        </w:trPr>
        <w:tc>
          <w:tcPr>
            <w:tcW w:type="dxa" w:w="3838"/>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left"/>
            </w:pPr>
            <w:r>
              <w:rPr>
                <w:b/>
                <w:bCs/>
                <w:color w:val="1F5C4A"/>
                <w:sz w:val="18"/>
                <w:szCs w:val="18"/>
              </w:rPr>
              <w:t xml:space="preserve">Fichier</w:t>
            </w:r>
          </w:p>
        </w:tc>
        <w:tc>
          <w:tcPr>
            <w:tcW w:type="dxa" w:w="2600"/>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center"/>
            </w:pPr>
            <w:r>
              <w:rPr>
                <w:b/>
                <w:bCs/>
                <w:color w:val="1F5C4A"/>
                <w:sz w:val="18"/>
                <w:szCs w:val="18"/>
              </w:rPr>
              <w:t xml:space="preserve">Chemin codé en dur</w:t>
            </w:r>
          </w:p>
        </w:tc>
        <w:tc>
          <w:tcPr>
            <w:tcW w:type="dxa" w:w="3200"/>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center"/>
            </w:pPr>
            <w:r>
              <w:rPr>
                <w:b/>
                <w:bCs/>
                <w:color w:val="1F5C4A"/>
                <w:sz w:val="18"/>
                <w:szCs w:val="18"/>
              </w:rPr>
              <w:t xml:space="preserve">Modifiable sans éditer le code</w:t>
            </w:r>
          </w:p>
        </w:tc>
      </w:tr>
      <w:tr>
        <w:tc>
          <w:tcPr>
            <w:tcW w:type="dxa" w:w="38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config/data_config.yaml</w:t>
            </w:r>
          </w:p>
        </w:tc>
        <w:tc>
          <w:tcPr>
            <w:tcW w:type="dxa" w:w="2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path:</w:t>
            </w:r>
          </w:p>
        </w:tc>
        <w:tc>
          <w:tcPr>
            <w:tcW w:type="dxa" w:w="32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Non — lu directement par Ultralytics</w:t>
            </w:r>
          </w:p>
        </w:tc>
      </w:tr>
      <w:tr>
        <w:tc>
          <w:tcPr>
            <w:tcW w:type="dxa" w:w="38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config/data_config_mono_class.yaml</w:t>
            </w:r>
          </w:p>
        </w:tc>
        <w:tc>
          <w:tcPr>
            <w:tcW w:type="dxa" w:w="2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path:</w:t>
            </w:r>
          </w:p>
        </w:tc>
        <w:tc>
          <w:tcPr>
            <w:tcW w:type="dxa" w:w="32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Non — lu directement par Ultralytics</w:t>
            </w:r>
          </w:p>
        </w:tc>
      </w:tr>
      <w:tr>
        <w:tc>
          <w:tcPr>
            <w:tcW w:type="dxa" w:w="38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config/data_config_no_debris.yaml</w:t>
            </w:r>
          </w:p>
        </w:tc>
        <w:tc>
          <w:tcPr>
            <w:tcW w:type="dxa" w:w="2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path:</w:t>
            </w:r>
          </w:p>
        </w:tc>
        <w:tc>
          <w:tcPr>
            <w:tcW w:type="dxa" w:w="32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Non — lu directement par Ultralytics</w:t>
            </w:r>
          </w:p>
        </w:tc>
      </w:tr>
      <w:tr>
        <w:tc>
          <w:tcPr>
            <w:tcW w:type="dxa" w:w="38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config/data_config_SL.yaml</w:t>
            </w:r>
          </w:p>
        </w:tc>
        <w:tc>
          <w:tcPr>
            <w:tcW w:type="dxa" w:w="2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path:</w:t>
            </w:r>
          </w:p>
        </w:tc>
        <w:tc>
          <w:tcPr>
            <w:tcW w:type="dxa" w:w="32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Non — lu directement par Ultralytics</w:t>
            </w:r>
          </w:p>
        </w:tc>
      </w:tr>
    </w:tbl>
    <w:p>
      <w:pPr>
        <w:spacing w:after="320" w:before="120"/>
      </w:pPr>
      <w:r>
        <w:rPr>
          <w:i/>
          <w:iCs/>
          <w:color w:val="5A5A5A"/>
          <w:sz w:val="19"/>
          <w:szCs w:val="19"/>
        </w:rPr>
        <w:t xml:space="preserve">Seuls chemins encore figés à E:\PixelOdyssey au 08/09/2026 — les référentiels de classes, lus directement par Ultralytics.</w:t>
      </w:r>
    </w:p>
    <w:p>
      <w:pPr>
        <w:spacing w:after="200"/>
        <w:jc w:val="both"/>
      </w:pPr>
      <w:r>
        <w:rPr/>
        <w:t xml:space="preserve">Un cas à part : config/frozen_test_parents.json contient un champ manual_file avec un chemin Windows absolu complet (utilisateur inclus). Ce n'est pas un réglage à corriger — ce champ est une note de provenance, régénérée automatiquement à chaque exécution de freeze_benchmark_test.py --manual --force, qui écrit alors le chemin de la machine qui l'a générée. Il ne casse rien tant que le fichier lui-même (parent_ids) n'est pas modifié à la main.</w:t>
      </w:r>
    </w:p>
    <w:p>
      <w:pPr>
        <w:spacing w:after="200"/>
        <w:jc w:val="both"/>
      </w:pPr>
      <w:r>
        <w:rPr/>
        <w:t xml:space="preserve">Point positif à noter en miroir de ces chemins : un bug spécifique à Windows a déjà été rencontré et corrigé sur ce projet (Ultralytics remplace globalement cv2.imread sous Windows, ce qui faisait planter la lecture des TIFF pyramidaux d'une orthomosaïque) — le correctif, dans src/data/image_io.py, passe par rasterio plutôt que par ce comportement Windows, et fonctionne donc de façon identique sur les trois OS. Le journal de décisions du projet (25/08/2026) détaille ce cas.</w:t>
      </w:r>
    </w:p>
    <w:p>
      <w:pPr>
        <w:spacing w:after="200"/>
        <w:jc w:val="both"/>
      </w:pPr>
      <w:r>
        <w:rPr/>
        <w:t xml:space="preserve">Pourquoi le dataset (E:\PixelOdyssey) ne doit pas être versionné sur GitHub, même en tant que sauvegarde : Git conserve indéfiniment chaque version de chaque fichier, un usage adapté à du texte mais pas à des images (le dépôt ne ferait que grossir à chaque évolution du dataset, sans réel bénéfice de diff) ; GitHub bloque tout fichier de plus de 100 Mo, et déconseille un dépôt de plusieurs Go, largement dépassé ici. .gitignore exclut déjà datasets/, models/, output/ et runs/ pour cette raison — un réflexe correct à conserver. La sécurité des données (une seule copie sur ce disque externe aujourd'hui) reste malgré tout un point à traiter séparément, par une sauvegarde dédiée plutôt que par git.</w:t>
      </w:r>
    </w:p>
    <w:p>
      <w:pPr>
        <w:pStyle w:val="Heading1"/>
        <w:pageBreakBefore/>
        <w:spacing w:after="240" w:before="480"/>
      </w:pPr>
      <w:r>
        <w:t xml:space="preserve">2. Générer une orthomosaïque avec WebODM</w:t>
      </w:r>
    </w:p>
    <w:p>
      <w:pPr>
        <w:pStyle w:val="Heading2"/>
        <w:spacing w:after="160" w:before="340"/>
      </w:pPr>
      <w:r>
        <w:t xml:space="preserve">2.1 Rôle dans le pipeline</w:t>
      </w:r>
    </w:p>
    <w:p>
      <w:pPr>
        <w:spacing w:after="200"/>
        <w:jc w:val="both"/>
      </w:pPr>
      <w:r>
        <w:rPr/>
        <w:t xml:space="preserve">WebODM prend en entrée un batch de photos drone (recouvrement d'environ 80 %) et produit une orthomosaïque géoréférencée au format GeoTIFF. Ce GeoTIFF alimente deux usages distincts du projet : certains lots du dataset annoté (1_annotated_dataset), notamment sur le site de Santa Luzia, sont directement des orthomosaïques WebODM ; côté production, le pipeline d'inférence détecte automatiquement un GeoTIFF géoréférencé et bascule en mode orthomosaïque plutôt qu'en mode lot de photos brutes (voir le rapport de bilan de projet, partie pipeline de production, pour cet arbitrage).</w:t>
      </w:r>
    </w:p>
    <w:p>
      <w:pPr>
        <w:spacing w:after="200"/>
        <w:jc w:val="both"/>
      </w:pPr>
      <w:r>
        <w:rPr/>
        <w:t xml:space="preserve">Ce document ne décrit pas le fonctionnement interne de WebODM, outil tiers, mais l'usage qui en est fait concrètement sur ce projet : les réglages retenus en pratique, et les points de vigilance déjà rencontrés.</w:t>
      </w:r>
    </w:p>
    <w:p>
      <w:pPr>
        <w:pStyle w:val="Heading2"/>
        <w:spacing w:after="160" w:before="340"/>
      </w:pPr>
      <w:r>
        <w:t xml:space="preserve">2.2 Guide d'utilisation</w:t>
      </w:r>
    </w:p>
    <w:p>
      <w:pPr>
        <w:spacing w:after="200"/>
        <w:jc w:val="both"/>
      </w:pPr>
      <w:r>
        <w:rPr/>
        <w:t xml:space="preserve">Le traitement démarre par la création d'un projet WebODM, ou la reprise d'un projet existant si le lieu correspond à un vol déjà traité, pour garder l'historique des traitements sur un même site.</w:t>
      </w:r>
    </w:p>
    <w:p>
      <w:pPr>
        <w:spacing w:after="200"/>
        <w:jc w:val="both"/>
      </w:pPr>
      <w:r>
        <w:rPr/>
        <w:t xml:space="preserve">Toutes les photos du vol sont ensuite importées dans le projet. Avant de lancer le moindre traitement, il est nécessaire de vérifier la continuité du vol : la reconstruction (SfM) suppose une trajectoire sans interruption, et un saut — photos manquantes, changement de zone — fait échouer la reconstruction ou produit un résultat corrompu. Sur la carte d'aperçu de WebODM, chaque photo importée s'affiche comme un point à sa position GPS ; il s'agit de contrôler visuellement que ces points forment une trajectoire continue, sans rupture brutale entre deux points consécutifs. En cas de saut détecté, seul le sous-ensemble de photos réellement continues est réimporté ; un vol comportant plusieurs segments valides mais disjoints est traité comme autant de projets séparés.</w:t>
      </w:r>
    </w:p>
    <w:p>
      <w:pPr>
        <w:spacing w:after="200"/>
        <w:jc w:val="both"/>
      </w:pPr>
      <w:r>
        <w:rPr/>
        <w:t xml:space="preserve">Le traitement est ensuite lancé avec le préréglage de qualité Balanced, complété par un jeu de paramètres avancés stabilisé en pratique sur ce projet.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6038"/>
      </w:tblGrid>
      <w:tr>
        <w:trPr>
          <w:tblHeader/>
        </w:trPr>
        <w:tc>
          <w:tcPr>
            <w:tcW w:type="dxa" w:w="2200"/>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left"/>
            </w:pPr>
            <w:r>
              <w:rPr>
                <w:b/>
                <w:bCs/>
                <w:color w:val="1F5C4A"/>
                <w:sz w:val="18"/>
                <w:szCs w:val="18"/>
              </w:rPr>
              <w:t xml:space="preserve">Paramètre</w:t>
            </w:r>
          </w:p>
        </w:tc>
        <w:tc>
          <w:tcPr>
            <w:tcW w:type="dxa" w:w="1400"/>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center"/>
            </w:pPr>
            <w:r>
              <w:rPr>
                <w:b/>
                <w:bCs/>
                <w:color w:val="1F5C4A"/>
                <w:sz w:val="18"/>
                <w:szCs w:val="18"/>
              </w:rPr>
              <w:t xml:space="preserve">Valeur</w:t>
            </w:r>
          </w:p>
        </w:tc>
        <w:tc>
          <w:tcPr>
            <w:tcW w:type="dxa" w:w="6038"/>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center"/>
            </w:pPr>
            <w:r>
              <w:rPr>
                <w:b/>
                <w:bCs/>
                <w:color w:val="1F5C4A"/>
                <w:sz w:val="18"/>
                <w:szCs w:val="18"/>
              </w:rPr>
              <w:t xml:space="preserve">Pourquoi</w:t>
            </w:r>
          </w:p>
        </w:tc>
      </w:tr>
      <w:tr>
        <w:tc>
          <w:tcPr>
            <w:tcW w:type="dxa" w:w="22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auto-boundary</w:t>
            </w:r>
          </w:p>
        </w:tc>
        <w:tc>
          <w:tcPr>
            <w:tcW w:type="dxa" w:w="1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true</w:t>
            </w:r>
          </w:p>
        </w:tc>
        <w:tc>
          <w:tcPr>
            <w:tcW w:type="dxa" w:w="60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Calcule automatiquement le contour de la zone traitée à partir de la position des photos, plutôt qu'un rectangle englobant qui inclurait du vide autour de la trajectoire de vol.</w:t>
            </w:r>
          </w:p>
        </w:tc>
      </w:tr>
      <w:tr>
        <w:tc>
          <w:tcPr>
            <w:tcW w:type="dxa" w:w="22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sfm-algorithm</w:t>
            </w:r>
          </w:p>
        </w:tc>
        <w:tc>
          <w:tcPr>
            <w:tcW w:type="dxa" w:w="1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planar</w:t>
            </w:r>
          </w:p>
        </w:tc>
        <w:tc>
          <w:tcPr>
            <w:tcW w:type="dxa" w:w="60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Adapté à une scène globalement plate vue depuis un vol nadir (une plage) ; plus rapide et plus robuste que l'algorithme incrémental par défaut, pensé pour des scènes avec du relief.</w:t>
            </w:r>
          </w:p>
        </w:tc>
      </w:tr>
      <w:tr>
        <w:tc>
          <w:tcPr>
            <w:tcW w:type="dxa" w:w="22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texturing-skip-global-seam-leveling</w:t>
            </w:r>
          </w:p>
        </w:tc>
        <w:tc>
          <w:tcPr>
            <w:tcW w:type="dxa" w:w="1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true</w:t>
            </w:r>
          </w:p>
        </w:tc>
        <w:tc>
          <w:tcPr>
            <w:tcW w:type="dxa" w:w="60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Désactive l'égalisation globale des couleurs aux jointures entre photos ; accélère le traitement, au prix de légères différences de teinte possibles aux raccords.</w:t>
            </w:r>
          </w:p>
        </w:tc>
      </w:tr>
      <w:tr>
        <w:tc>
          <w:tcPr>
            <w:tcW w:type="dxa" w:w="22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dsm</w:t>
            </w:r>
          </w:p>
        </w:tc>
        <w:tc>
          <w:tcPr>
            <w:tcW w:type="dxa" w:w="1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true</w:t>
            </w:r>
          </w:p>
        </w:tc>
        <w:tc>
          <w:tcPr>
            <w:tcW w:type="dxa" w:w="60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Génère en plus un modèle numérique de surface, utile si un usage futur a besoin du relief plutôt que de la seule image orthorectifiée.</w:t>
            </w:r>
          </w:p>
        </w:tc>
      </w:tr>
      <w:tr>
        <w:tc>
          <w:tcPr>
            <w:tcW w:type="dxa" w:w="22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dem-resolution</w:t>
            </w:r>
          </w:p>
        </w:tc>
        <w:tc>
          <w:tcPr>
            <w:tcW w:type="dxa" w:w="1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0.5</w:t>
            </w:r>
          </w:p>
        </w:tc>
        <w:tc>
          <w:tcPr>
            <w:tcW w:type="dxa" w:w="60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Résolution du DEM/DSM, en cm/pixel.</w:t>
            </w:r>
          </w:p>
        </w:tc>
      </w:tr>
      <w:tr>
        <w:tc>
          <w:tcPr>
            <w:tcW w:type="dxa" w:w="22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orthophoto-resolution</w:t>
            </w:r>
          </w:p>
        </w:tc>
        <w:tc>
          <w:tcPr>
            <w:tcW w:type="dxa" w:w="1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0.5</w:t>
            </w:r>
          </w:p>
        </w:tc>
        <w:tc>
          <w:tcPr>
            <w:tcW w:type="dxa" w:w="60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Résolution de l'orthophoto exportée, en cm/pixel ; cohérente avec la GSD mesurée sur les orthomosaïques déjà utilisées dans le pipeline (environ 0,5 cm/pixel). Un changement de cette valeur modifie la GSD des images d'entraînement, donc l'échelle apparente des objets vue par le modèle.</w:t>
            </w:r>
          </w:p>
        </w:tc>
      </w:tr>
      <w:tr>
        <w:tc>
          <w:tcPr>
            <w:tcW w:type="dxa" w:w="22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split</w:t>
            </w:r>
          </w:p>
        </w:tc>
        <w:tc>
          <w:tcPr>
            <w:tcW w:type="dxa" w:w="1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500</w:t>
            </w:r>
          </w:p>
        </w:tc>
        <w:tc>
          <w:tcPr>
            <w:tcW w:type="dxa" w:w="60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Pour un batch de plusieurs centaines à environ 1000 photos, découpe la reconstruction en sous-groupes d'environ 500 images traités séparément puis fusionnés, pour éviter de saturer la RAM.</w:t>
            </w:r>
          </w:p>
        </w:tc>
      </w:tr>
      <w:tr>
        <w:tc>
          <w:tcPr>
            <w:tcW w:type="dxa" w:w="22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split-overlap</w:t>
            </w:r>
          </w:p>
        </w:tc>
        <w:tc>
          <w:tcPr>
            <w:tcW w:type="dxa" w:w="1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100</w:t>
            </w:r>
          </w:p>
        </w:tc>
        <w:tc>
          <w:tcPr>
            <w:tcW w:type="dxa" w:w="60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Recouvrement, en mètres, entre deux sous-groupes voisins, nécessaire à une fusion cohérente aux jointures.</w:t>
            </w:r>
          </w:p>
        </w:tc>
      </w:tr>
      <w:tr>
        <w:tc>
          <w:tcPr>
            <w:tcW w:type="dxa" w:w="22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rerun-from</w:t>
            </w:r>
          </w:p>
        </w:tc>
        <w:tc>
          <w:tcPr>
            <w:tcW w:type="dxa" w:w="1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odm_postprocess</w:t>
            </w:r>
          </w:p>
        </w:tc>
        <w:tc>
          <w:tcPr>
            <w:tcW w:type="dxa" w:w="60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Relance uniquement les étapes finales d'export sans refaire la reconstruction SfM ; sans effet sur un premier traitement, utile pour retoucher un réglage d'export après une reconstruction déjà calculée.</w:t>
            </w:r>
          </w:p>
        </w:tc>
      </w:tr>
    </w:tbl>
    <w:p>
      <w:pPr>
        <w:spacing w:after="320" w:before="120"/>
      </w:pPr>
      <w:r>
        <w:rPr>
          <w:i/>
          <w:iCs/>
          <w:color w:val="5A5A5A"/>
          <w:sz w:val="19"/>
          <w:szCs w:val="19"/>
        </w:rPr>
        <w:t xml:space="preserve">Paramètres avancés retenus pour un traitement WebODM sur ce projet, en complément du préréglage Balanced.</w:t>
      </w:r>
    </w:p>
    <w:p>
      <w:pPr>
        <w:spacing w:after="200"/>
        <w:jc w:val="both"/>
      </w:pPr>
      <w:r>
        <w:rPr/>
        <w:t xml:space="preserve">Le traitement, purement CPU dans la configuration actuelle, peut prendre un temps significatif sur un batch de plusieurs centaines de photos ; une accélération GPU a été identifiée comme amélioration future pour réduire ce temps, mais n'est pas encore mise en place.</w:t>
      </w:r>
    </w:p>
    <w:p>
      <w:pPr>
        <w:spacing w:after="200"/>
        <w:jc w:val="both"/>
      </w:pPr>
      <w:r>
        <w:rPr/>
        <w:t xml:space="preserve">Avant export, le résultat est inspecté visuellement : absence de zones floues ou fantômes, contour cohérent avec la zone réellement survolée, absence d'artefact de raccord majeur entre les morceaux (split) ou entre les photos, au-delà des légères différences de teinte déjà anticipées par la désactivation de l'égalisation globale des couleurs. Si le résultat est satisfaisant, l'orthomosaïque est exportée au format GeoTIFF et enregistrée dans E:\PixelOdyssey\2. Raw data\0. Mosaics, en respectant la convention de nommage déjà utilisée pour les fichiers existants (code de site en premier terme, suivi d'un repère de vol ou de date, par exemple SL W1.tif ou SB 1-5.tif). Ce répertoire sert de point de départ avant qu'une orthomosaïque ne soit annotée et intégrée à 1_annotated_dataset, ou envoyée telle quelle en inférence.</w:t>
      </w:r>
    </w:p>
    <w:p>
      <w:pPr>
        <w:pStyle w:val="Heading1"/>
        <w:pageBreakBefore/>
        <w:spacing w:after="240" w:before="480"/>
      </w:pPr>
      <w:r>
        <w:t xml:space="preserve">3. Préparation du dataset</w:t>
      </w:r>
    </w:p>
    <w:p>
      <w:pPr>
        <w:pStyle w:val="Heading2"/>
        <w:spacing w:after="160" w:before="340"/>
      </w:pPr>
      <w:r>
        <w:t xml:space="preserve">3.1 Préparation du dataset : fonctionnement actuel</w:t>
      </w:r>
    </w:p>
    <w:p>
      <w:pPr>
        <w:spacing w:after="200"/>
        <w:jc w:val="both"/>
      </w:pPr>
      <w:r>
        <w:rPr/>
        <w:t xml:space="preserve">La donnée traverse quatre dossiers matérialisés sous </w:t>
      </w:r>
      <w:r>
        <w:rPr>
          <w:rFonts w:ascii="Consolas" w:hAnsi="Consolas" w:cs="Consolas"/>
          <w:color w:val="1F5C4A"/>
          <w:sz w:val="20"/>
          <w:szCs w:val="20"/>
        </w:rPr>
        <w:t xml:space="preserve">3. Processed dataset</w:t>
      </w:r>
      <w:r>
        <w:rPr/>
        <w:t xml:space="preserve">, chacun produit par une étape du pipeline et consommé tel quel par la suivante : </w:t>
      </w:r>
      <w:r>
        <w:rPr>
          <w:rFonts w:ascii="Consolas" w:hAnsi="Consolas" w:cs="Consolas"/>
          <w:color w:val="1F5C4A"/>
          <w:sz w:val="20"/>
          <w:szCs w:val="20"/>
        </w:rPr>
        <w:t xml:space="preserve">1_annotated_dataset</w:t>
      </w:r>
      <w:r>
        <w:rPr/>
        <w:t xml:space="preserve"> (donnée brute, organisée par lot d'annotation), </w:t>
      </w:r>
      <w:r>
        <w:rPr>
          <w:rFonts w:ascii="Consolas" w:hAnsi="Consolas" w:cs="Consolas"/>
          <w:color w:val="1F5C4A"/>
          <w:sz w:val="20"/>
          <w:szCs w:val="20"/>
        </w:rPr>
        <w:t xml:space="preserve">2_split_dataset</w:t>
      </w:r>
      <w:r>
        <w:rPr/>
        <w:t xml:space="preserve"> (après répartition entraînement/validation/test), </w:t>
      </w:r>
      <w:r>
        <w:rPr>
          <w:rFonts w:ascii="Consolas" w:hAnsi="Consolas" w:cs="Consolas"/>
          <w:color w:val="1F5C4A"/>
          <w:sz w:val="20"/>
          <w:szCs w:val="20"/>
        </w:rPr>
        <w:t xml:space="preserve">3_augmented_dataset</w:t>
      </w:r>
      <w:r>
        <w:rPr/>
        <w:t xml:space="preserve"> (après augmentation, pour l'instant transparente) et </w:t>
      </w:r>
      <w:r>
        <w:rPr>
          <w:rFonts w:ascii="Consolas" w:hAnsi="Consolas" w:cs="Consolas"/>
          <w:color w:val="1F5C4A"/>
          <w:sz w:val="20"/>
          <w:szCs w:val="20"/>
        </w:rPr>
        <w:t xml:space="preserve">4_sliced_dataset</w:t>
      </w:r>
      <w:r>
        <w:rPr/>
        <w:t xml:space="preserve"> (après découpage en tuiles — la donnée réellement vue par l'entraînement). Un script dédié porte chacune de ces trois transformations (</w:t>
      </w:r>
      <w:r>
        <w:rPr>
          <w:rFonts w:ascii="Consolas" w:hAnsi="Consolas" w:cs="Consolas"/>
          <w:color w:val="1F5C4A"/>
          <w:sz w:val="20"/>
          <w:szCs w:val="20"/>
        </w:rPr>
        <w:t xml:space="preserve">split_dataset.py</w:t>
      </w:r>
      <w:r>
        <w:rPr/>
        <w:t xml:space="preserve">, </w:t>
      </w:r>
      <w:r>
        <w:rPr>
          <w:rFonts w:ascii="Consolas" w:hAnsi="Consolas" w:cs="Consolas"/>
          <w:color w:val="1F5C4A"/>
          <w:sz w:val="20"/>
          <w:szCs w:val="20"/>
        </w:rPr>
        <w:t xml:space="preserve">augment_dataset.py</w:t>
      </w:r>
      <w:r>
        <w:rPr/>
        <w:t xml:space="preserve">, </w:t>
      </w:r>
      <w:r>
        <w:rPr>
          <w:rFonts w:ascii="Consolas" w:hAnsi="Consolas" w:cs="Consolas"/>
          <w:color w:val="1F5C4A"/>
          <w:sz w:val="20"/>
          <w:szCs w:val="20"/>
        </w:rPr>
        <w:t xml:space="preserve">slice_dataset.py</w:t>
      </w:r>
      <w:r>
        <w:rPr/>
        <w:t xml:space="preserve">), et un orchestrateur unique (</w:t>
      </w:r>
      <w:r>
        <w:rPr>
          <w:rFonts w:ascii="Consolas" w:hAnsi="Consolas" w:cs="Consolas"/>
          <w:color w:val="1F5C4A"/>
          <w:sz w:val="20"/>
          <w:szCs w:val="20"/>
        </w:rPr>
        <w:t xml:space="preserve">data_pipeline.py</w:t>
      </w:r>
      <w:r>
        <w:rPr/>
        <w:t xml:space="preserve">) les enchaîne dans l'ordre.</w:t>
      </w:r>
    </w:p>
    <w:p>
      <w:pPr>
        <w:spacing w:after="200"/>
        <w:jc w:val="both"/>
      </w:pPr>
      <w:r>
        <w:rPr/>
        <w:t xml:space="preserve">Avant toute transformation, une vérification bloquante (</w:t>
      </w:r>
      <w:r>
        <w:rPr>
          <w:rFonts w:ascii="Consolas" w:hAnsi="Consolas" w:cs="Consolas"/>
          <w:color w:val="1F5C4A"/>
          <w:sz w:val="20"/>
          <w:szCs w:val="20"/>
        </w:rPr>
        <w:t xml:space="preserve">raw_dataset_checker.py</w:t>
      </w:r>
      <w:r>
        <w:rPr/>
        <w:t xml:space="preserve">, étape 0) contrôle </w:t>
      </w:r>
      <w:r>
        <w:rPr>
          <w:rFonts w:ascii="Consolas" w:hAnsi="Consolas" w:cs="Consolas"/>
          <w:color w:val="1F5C4A"/>
          <w:sz w:val="20"/>
          <w:szCs w:val="20"/>
        </w:rPr>
        <w:t xml:space="preserve">1_annotated_dataset</w:t>
      </w:r>
      <w:r>
        <w:rPr/>
        <w:t xml:space="preserve"> lot par lot : chaque lot doit déclarer son propre référentiel local de classes (</w:t>
      </w:r>
      <w:r>
        <w:rPr>
          <w:rFonts w:ascii="Consolas" w:hAnsi="Consolas" w:cs="Consolas"/>
          <w:color w:val="1F5C4A"/>
          <w:sz w:val="20"/>
          <w:szCs w:val="20"/>
        </w:rPr>
        <w:t xml:space="preserve">data.yaml</w:t>
      </w:r>
      <w:r>
        <w:rPr/>
        <w:t xml:space="preserve">), chaque label doit correspondre à une image existante — l'inverse, une image sans label, n'est pas une erreur mais la convention pour une photo confirmée sans déchet, gardée pour équilibrer l'entraînement — et chaque nom de classe utilisé doit se résoudre dans le référentiel commun du projet. Un problème sur l'un de ces points arrête le pipeline avant de toucher à quoi que ce soit d'autre, en listant TOUS les problèmes trouvés plutôt que le premier. Une vérification non bloquante, distincte, signale en plus les paires de masques probablement dupliquées (même classe cible, même image, recouvrement supérieur à 50 %) : jamais corrigée automatiquement, seulement remontée pour relecture — un doublon non corrigé ici se retrouve démultiplié une fois découpé en tuiles.</w:t>
      </w:r>
    </w:p>
    <w:p>
      <w:pPr>
        <w:spacing w:after="200"/>
        <w:jc w:val="both"/>
      </w:pPr>
      <w:r>
        <w:rPr/>
        <w:t xml:space="preserve">La traduction des classes repose sur un référentiel unique (</w:t>
      </w:r>
      <w:r>
        <w:rPr>
          <w:rFonts w:ascii="Consolas" w:hAnsi="Consolas" w:cs="Consolas"/>
          <w:color w:val="1F5C4A"/>
          <w:sz w:val="20"/>
          <w:szCs w:val="20"/>
        </w:rPr>
        <w:t xml:space="preserve">config/data_config.yaml</w:t>
      </w:r>
      <w:r>
        <w:rPr/>
        <w:t xml:space="preserve">) que chaque lot brut ne connaît pas directement : un lot garde son propre </w:t>
      </w:r>
      <w:r>
        <w:rPr>
          <w:rFonts w:ascii="Consolas" w:hAnsi="Consolas" w:cs="Consolas"/>
          <w:color w:val="1F5C4A"/>
          <w:sz w:val="20"/>
          <w:szCs w:val="20"/>
        </w:rPr>
        <w:t xml:space="preserve">data.yaml</w:t>
      </w:r>
      <w:r>
        <w:rPr/>
        <w:t xml:space="preserve"> local, avec ses propres identifiants et parfois plusieurs dizaines de sous-classes, qui n'a jamais besoin de correspondre à celui d'un autre lot. Le nom qu'il déclare est normalisé (casse, accents, tirets bas) puis cherché dans une table de correspondance vers l'une des sept super-classes cibles, ou vers une exclusion explicite (matière non plastique, catégorie jugée trop hétérogène). Ajouter un nouveau lot ou une nouvelle sous-classe ne touche donc jamais au code, seulement à cette table ; un nom qui n'y figure nulle part, même après normalisation, n'est jamais ignoré en silence — il bloque l'étape 0 en le nommant explicitement.</w:t>
      </w:r>
    </w:p>
    <w:p>
      <w:pPr>
        <w:spacing w:after="200"/>
        <w:jc w:val="both"/>
      </w:pPr>
      <w:r>
        <w:rPr/>
        <w:t xml:space="preserve">La répartition entraînement/validation/test (étape 1) se décide au niveau de l'image PARENTE, avant toute augmentation — trancher après aurait pu envoyer une image et sa quasi-copie augmentée dans deux ensembles différents, une fuite de données. Chaque lot est réparti séparément (stratification par lot, pas un tirage global) pour qu'un lot qui reste la seule source d'une classe rare ne soit jamais exclu par hasard d'un des trois ensembles. Le split de chaque image découle d'un hash stable de sa propre identité (graine, lot, identifiant), jamais de sa position dans une liste : ajouter de nouvelles images à un lot déjà réparti ne rebat donc jamais le split des images déjà en place. Un banc de test optionnel peut être figé une bonne fois pour toutes (</w:t>
      </w:r>
      <w:r>
        <w:rPr>
          <w:rFonts w:ascii="Consolas" w:hAnsi="Consolas" w:cs="Consolas"/>
          <w:color w:val="1F5C4A"/>
          <w:sz w:val="20"/>
          <w:szCs w:val="20"/>
        </w:rPr>
        <w:t xml:space="preserve">config/frozen_test_parents.json</w:t>
      </w:r>
      <w:r>
        <w:rPr/>
        <w:t xml:space="preserve">, produit par </w:t>
      </w:r>
      <w:r>
        <w:rPr>
          <w:rFonts w:ascii="Consolas" w:hAnsi="Consolas" w:cs="Consolas"/>
          <w:color w:val="1F5C4A"/>
          <w:sz w:val="20"/>
          <w:szCs w:val="20"/>
        </w:rPr>
        <w:t xml:space="preserve">freeze_benchmark_test.py</w:t>
      </w:r>
      <w:r>
        <w:rPr/>
        <w:t xml:space="preserve">) : les images qu'il liste restent en test définitivement, condition nécessaire pour que deux entraînements séparés dans le temps restent comparables sur exactement le même test.</w:t>
      </w:r>
    </w:p>
    <w:p>
      <w:pPr>
        <w:spacing w:after="200"/>
        <w:jc w:val="both"/>
      </w:pPr>
      <w:r>
        <w:rPr/>
        <w:t xml:space="preserve">L'étape d'augmentation (étape 2) est aujourd'hui un pass-through complet : validation et test sont toujours recopiés tels quels, jamais transformés, et le train ne l'est pas non plus pour l'instant — les deux passent par des fonctions volontairement séparées plutôt qu'un simple paramètre, pour qu'il soit structurellement impossible d'appliquer par erreur une future transformation d'entraînement (collage de masques, duplication de classes rares) à la validation ou au test. Le découpage en tuiles (étape 3) qui suit est une opération purement géométrique, sans aucune notion de classe (déjà traduites à l'étape 1) : fenêtre glissante de 640×640 pixels avec un recouvrement de 256 pixels entre tuiles voisines (soit un pas de 384 pixels), découpage des polygones aux bords de tuile plutôt que rejet de l'objet entier, et un filtre qui écarte une tuile de fond dont plus de la moitié des pixels sont noirs — des triangles de bordure issus de la rotation d'une orthomosaïque, pas de vrais exemples de fond.</w:t>
      </w:r>
    </w:p>
    <w:p>
      <w:pPr>
        <w:spacing w:after="200"/>
        <w:jc w:val="both"/>
      </w:pPr>
      <w:r>
        <w:rPr/>
        <w:t xml:space="preserve">Chaque étape est incrémentale : relancer le pipeline ne retraite pas un parent déjà présent dans le dossier de sortie, sauf si la configuration qui l'a produit a changé depuis. Ce garde-fou repose sur un manifeste par dossier, contenant une empreinte des paramètres de l'étape ET de l'empreinte de l'étape amont — un changement de logique de split, par exemple, invalide donc automatiquement le cache de l'augmentation puis du découpage en cascade, même si aucun de leurs propres paramètres n'a changé. Face à une configuration qui a changé, le comportement dépend du contexte : une session interactive propose une confirmation </w:t>
      </w:r>
      <w:r>
        <w:rPr>
          <w:rFonts w:ascii="Consolas" w:hAnsi="Consolas" w:cs="Consolas"/>
          <w:color w:val="1F5C4A"/>
          <w:sz w:val="20"/>
          <w:szCs w:val="20"/>
        </w:rPr>
        <w:t xml:space="preserve">[y/N]</w:t>
      </w:r>
      <w:r>
        <w:rPr/>
        <w:t xml:space="preserve"> avant d'écraser puis régénérer le dossier concerné (une seule confirmation pour les trois étapes quand elles sont lancées via l'orchestrateur, la cascade d'empreintes faisant qu'une réponse couvre généralement tout) ; une session non interactive (script, tâche planifiée) lève une erreur explicite plutôt qu'un prompt qui attendrait indéfiniment ; </w:t>
      </w:r>
      <w:r>
        <w:rPr>
          <w:rFonts w:ascii="Consolas" w:hAnsi="Consolas" w:cs="Consolas"/>
          <w:color w:val="1F5C4A"/>
          <w:sz w:val="20"/>
          <w:szCs w:val="20"/>
        </w:rPr>
        <w:t xml:space="preserve">--force</w:t>
      </w:r>
      <w:r>
        <w:rPr/>
        <w:t xml:space="preserve"> écrase directement, sans rien demander.</w:t>
      </w:r>
    </w:p>
    <w:p>
      <w:pPr>
        <w:spacing w:after="200"/>
        <w:jc w:val="both"/>
      </w:pPr>
      <w:r>
        <w:rPr/>
        <w:t xml:space="preserve">Trois variantes indépendantes et combinables permettent de faire tourner ce pipeline sur un sous-ensemble ou une configuration différente sans jamais toucher au dataset principal : une taxonomie alternative (</w:t>
      </w:r>
      <w:r>
        <w:rPr>
          <w:rFonts w:ascii="Consolas" w:hAnsi="Consolas" w:cs="Consolas"/>
          <w:color w:val="1F5C4A"/>
          <w:sz w:val="20"/>
          <w:szCs w:val="20"/>
        </w:rPr>
        <w:t xml:space="preserve">--config</w:t>
      </w:r>
      <w:r>
        <w:rPr/>
        <w:t xml:space="preserve">), une donnée source différente comme un lot corrigé par les outils de relecture (</w:t>
      </w:r>
      <w:r>
        <w:rPr>
          <w:rFonts w:ascii="Consolas" w:hAnsi="Consolas" w:cs="Consolas"/>
          <w:color w:val="1F5C4A"/>
          <w:sz w:val="20"/>
          <w:szCs w:val="20"/>
        </w:rPr>
        <w:t xml:space="preserve">--raw-dir</w:t>
      </w:r>
      <w:r>
        <w:rPr/>
        <w:t xml:space="preserve">), ou un filtre par site pour un entraînement dédié (</w:t>
      </w:r>
      <w:r>
        <w:rPr>
          <w:rFonts w:ascii="Consolas" w:hAnsi="Consolas" w:cs="Consolas"/>
          <w:color w:val="1F5C4A"/>
          <w:sz w:val="20"/>
          <w:szCs w:val="20"/>
        </w:rPr>
        <w:t xml:space="preserve">--site</w:t>
      </w:r>
      <w:r>
        <w:rPr/>
        <w:t xml:space="preserve">, ex. Santa Luzia seule). Un garde-fou explicite refuse de démarrer si l'une de ces options s'écarte du défaut sans qu'un </w:t>
      </w:r>
      <w:r>
        <w:rPr>
          <w:rFonts w:ascii="Consolas" w:hAnsi="Consolas" w:cs="Consolas"/>
          <w:color w:val="1F5C4A"/>
          <w:sz w:val="20"/>
          <w:szCs w:val="20"/>
        </w:rPr>
        <w:t xml:space="preserve">--suffix</w:t>
      </w:r>
      <w:r>
        <w:rPr/>
        <w:t xml:space="preserve"> soit également fourni : sans ce suffixe, le pipeline écrirait dans les mêmes dossiers que le dataset complet, avec une donnée différente, l'écrasant silencieusement.</w:t>
      </w:r>
    </w:p>
    <w:p>
      <w:pPr>
        <w:pStyle w:val="Heading2"/>
        <w:spacing w:after="160" w:before="340"/>
      </w:pPr>
      <w:r>
        <w:t xml:space="preserve">3.2 Préparation du dataset : guide d'utilisation</w:t>
      </w:r>
    </w:p>
    <w:p>
      <w:pPr>
        <w:spacing w:after="200"/>
        <w:jc w:val="both"/>
      </w:pPr>
      <w:r>
        <w:rPr/>
        <w:t xml:space="preserve">Le cas normal est une seule commande, qui enchaîne les quatre étapes dans l'ordre :</w:t>
      </w:r>
    </w:p>
    <w:p>
      <w:pPr>
        <w:pBdr>
          <w:left w:val="single" w:sz="18" w:space="8" w:color="1F5C4A"/>
        </w:pBdr>
        <w:shd w:val="clear" w:fill="F2F4F2"/>
        <w:spacing w:after="200" w:before="160"/>
        <w:ind w:left="0"/>
      </w:pPr>
      <w:r>
        <w:rPr>
          <w:rFonts w:ascii="Consolas" w:hAnsi="Consolas" w:cs="Consolas"/>
          <w:color w:val="1A1A1A"/>
          <w:sz w:val="19"/>
          <w:szCs w:val="19"/>
        </w:rPr>
        <w:t xml:space="preserve">python src/data/data_pipeline.py --force</w:t>
      </w:r>
    </w:p>
    <w:p>
      <w:pPr>
        <w:spacing w:after="200"/>
        <w:jc w:val="both"/>
      </w:pPr>
      <w:r>
        <w:rPr>
          <w:rFonts w:ascii="Consolas" w:hAnsi="Consolas" w:cs="Consolas"/>
          <w:color w:val="1F5C4A"/>
          <w:sz w:val="20"/>
          <w:szCs w:val="20"/>
        </w:rPr>
        <w:t xml:space="preserve">--force</w:t>
      </w:r>
      <w:r>
        <w:rPr/>
        <w:t xml:space="preserve"> reconstruit automatiquement toute étape dont la configuration a changé depuis le dernier run, plutôt que de s'arrêter en erreur — à utiliser par défaut sauf besoin précis de contrôler chaque confirmation à la main. L'étape 0 (vérification d'intégrité) n'a pas de notion de cache : elle s'exécute intégralement à chaque lancement et n'est jamais concernée par </w:t>
      </w:r>
      <w:r>
        <w:rPr>
          <w:rFonts w:ascii="Consolas" w:hAnsi="Consolas" w:cs="Consolas"/>
          <w:color w:val="1F5C4A"/>
          <w:sz w:val="20"/>
          <w:szCs w:val="20"/>
        </w:rPr>
        <w:t xml:space="preserve">--force</w:t>
      </w:r>
      <w:r>
        <w:rPr/>
        <w:t xml:space="preserve">.</w:t>
      </w:r>
    </w:p>
    <w:p>
      <w:pPr>
        <w:spacing w:after="200"/>
        <w:jc w:val="both"/>
      </w:pPr>
      <w:r>
        <w:rPr/>
        <w:t xml:space="preserve">Si l'étape 0 échoue, le pipeline s'arrête avant même de toucher </w:t>
      </w:r>
      <w:r>
        <w:rPr>
          <w:rFonts w:ascii="Consolas" w:hAnsi="Consolas" w:cs="Consolas"/>
          <w:color w:val="1F5C4A"/>
          <w:sz w:val="20"/>
          <w:szCs w:val="20"/>
        </w:rPr>
        <w:t xml:space="preserve">2_split_dataset</w:t>
      </w:r>
      <w:r>
        <w:rPr/>
        <w:t xml:space="preserve">, avec la liste complète des problèmes trouvés — jamais seulement le premier. Les cas les plus courants : un nom de classe absent de </w:t>
      </w:r>
      <w:r>
        <w:rPr>
          <w:rFonts w:ascii="Consolas" w:hAnsi="Consolas" w:cs="Consolas"/>
          <w:color w:val="1F5C4A"/>
          <w:sz w:val="20"/>
          <w:szCs w:val="20"/>
        </w:rPr>
        <w:t xml:space="preserve">class_taxonomy</w:t>
      </w:r>
      <w:r>
        <w:rPr/>
        <w:t xml:space="preserve">/</w:t>
      </w:r>
      <w:r>
        <w:rPr>
          <w:rFonts w:ascii="Consolas" w:hAnsi="Consolas" w:cs="Consolas"/>
          <w:color w:val="1F5C4A"/>
          <w:sz w:val="20"/>
          <w:szCs w:val="20"/>
        </w:rPr>
        <w:t xml:space="preserve">class_aliases</w:t>
      </w:r>
      <w:r>
        <w:rPr/>
        <w:t xml:space="preserve"> dans </w:t>
      </w:r>
      <w:r>
        <w:rPr>
          <w:rFonts w:ascii="Consolas" w:hAnsi="Consolas" w:cs="Consolas"/>
          <w:color w:val="1F5C4A"/>
          <w:sz w:val="20"/>
          <w:szCs w:val="20"/>
        </w:rPr>
        <w:t xml:space="preserve">config/data_config.yaml</w:t>
      </w:r>
      <w:r>
        <w:rPr/>
        <w:t xml:space="preserve"> (à ajouter, aucune ligne de code à toucher), un lot sans son propre </w:t>
      </w:r>
      <w:r>
        <w:rPr>
          <w:rFonts w:ascii="Consolas" w:hAnsi="Consolas" w:cs="Consolas"/>
          <w:color w:val="1F5C4A"/>
          <w:sz w:val="20"/>
          <w:szCs w:val="20"/>
        </w:rPr>
        <w:t xml:space="preserve">data.yaml</w:t>
      </w:r>
      <w:r>
        <w:rPr/>
        <w:t xml:space="preserve">, ou un label orphelin (fichier </w:t>
      </w:r>
      <w:r>
        <w:rPr>
          <w:rFonts w:ascii="Consolas" w:hAnsi="Consolas" w:cs="Consolas"/>
          <w:color w:val="1F5C4A"/>
          <w:sz w:val="20"/>
          <w:szCs w:val="20"/>
        </w:rPr>
        <w:t xml:space="preserve">.txt</w:t>
      </w:r>
      <w:r>
        <w:rPr/>
        <w:t xml:space="preserve"> sans image correspondante, à corriger dans </w:t>
      </w:r>
      <w:r>
        <w:rPr>
          <w:rFonts w:ascii="Consolas" w:hAnsi="Consolas" w:cs="Consolas"/>
          <w:color w:val="1F5C4A"/>
          <w:sz w:val="20"/>
          <w:szCs w:val="20"/>
        </w:rPr>
        <w:t xml:space="preserve">1_annotated_dataset</w:t>
      </w:r>
      <w:r>
        <w:rPr/>
        <w:t xml:space="preserve">). Les doublons probables d'annotation, eux, ne bloquent jamais le pipeline : ils apparaissent en avertissement, à relire manuellement avant de considérer le dataset propre.</w:t>
      </w:r>
    </w:p>
    <w:p>
      <w:pPr>
        <w:spacing w:after="200"/>
        <w:jc w:val="both"/>
      </w:pPr>
      <w:r>
        <w:rPr/>
        <w:t xml:space="preserve">Trois variantes utiles, chacune nécessitant </w:t>
      </w:r>
      <w:r>
        <w:rPr>
          <w:rFonts w:ascii="Consolas" w:hAnsi="Consolas" w:cs="Consolas"/>
          <w:color w:val="1F5C4A"/>
          <w:sz w:val="20"/>
          <w:szCs w:val="20"/>
        </w:rPr>
        <w:t xml:space="preserve">--suffix</w:t>
      </w:r>
      <w:r>
        <w:rPr/>
        <w:t xml:space="preserve"> dès qu'elle s'écarte du défaut :</w:t>
      </w:r>
    </w:p>
    <w:p>
      <w:pPr>
        <w:pBdr>
          <w:left w:val="single" w:sz="18" w:space="8" w:color="1F5C4A"/>
        </w:pBdr>
        <w:shd w:val="clear" w:fill="F2F4F2"/>
        <w:spacing w:after="40" w:before="160"/>
        <w:ind w:left="0"/>
      </w:pPr>
      <w:r>
        <w:rPr>
          <w:rFonts w:ascii="Consolas" w:hAnsi="Consolas" w:cs="Consolas"/>
          <w:color w:val="1A1A1A"/>
          <w:sz w:val="19"/>
          <w:szCs w:val="19"/>
        </w:rPr>
        <w:t xml:space="preserve"># Dataset corrigé via review_false_positives.py</w:t>
      </w:r>
    </w:p>
    <w:p>
      <w:pPr>
        <w:pBdr>
          <w:left w:val="single" w:sz="18" w:space="8" w:color="1F5C4A"/>
        </w:pBdr>
        <w:shd w:val="clear" w:fill="F2F4F2"/>
        <w:spacing w:after="200" w:before="0"/>
        <w:ind w:left="0"/>
      </w:pPr>
      <w:r>
        <w:rPr>
          <w:rFonts w:ascii="Consolas" w:hAnsi="Consolas" w:cs="Consolas"/>
          <w:color w:val="1A1A1A"/>
          <w:sz w:val="19"/>
          <w:szCs w:val="19"/>
        </w:rPr>
        <w:t xml:space="preserve">python src/data/data_pipeline.py --raw-dir "E:\PixelOdyssey\3. Processed dataset\1bis_corrected_annotation" --suffix _corrected</w:t>
      </w:r>
    </w:p>
    <w:p>
      <w:pPr>
        <w:pBdr>
          <w:left w:val="single" w:sz="18" w:space="8" w:color="1F5C4A"/>
        </w:pBdr>
        <w:shd w:val="clear" w:fill="F2F4F2"/>
        <w:spacing w:after="40" w:before="160"/>
        <w:ind w:left="0"/>
      </w:pPr>
      <w:r>
        <w:rPr>
          <w:rFonts w:ascii="Consolas" w:hAnsi="Consolas" w:cs="Consolas"/>
          <w:color w:val="1A1A1A"/>
          <w:sz w:val="19"/>
          <w:szCs w:val="19"/>
        </w:rPr>
        <w:t xml:space="preserve"># Entraînement dédié à un site (ex. Santa Luzia)</w:t>
      </w:r>
    </w:p>
    <w:p>
      <w:pPr>
        <w:pBdr>
          <w:left w:val="single" w:sz="18" w:space="8" w:color="1F5C4A"/>
        </w:pBdr>
        <w:shd w:val="clear" w:fill="F2F4F2"/>
        <w:spacing w:after="200" w:before="0"/>
        <w:ind w:left="0"/>
      </w:pPr>
      <w:r>
        <w:rPr>
          <w:rFonts w:ascii="Consolas" w:hAnsi="Consolas" w:cs="Consolas"/>
          <w:color w:val="1A1A1A"/>
          <w:sz w:val="19"/>
          <w:szCs w:val="19"/>
        </w:rPr>
        <w:t xml:space="preserve">python src/data/data_pipeline.py --site SL --suffix _SL</w:t>
      </w:r>
    </w:p>
    <w:p>
      <w:pPr>
        <w:pBdr>
          <w:left w:val="single" w:sz="18" w:space="8" w:color="1F5C4A"/>
        </w:pBdr>
        <w:shd w:val="clear" w:fill="F2F4F2"/>
        <w:spacing w:after="40" w:before="160"/>
        <w:ind w:left="0"/>
      </w:pPr>
      <w:r>
        <w:rPr>
          <w:rFonts w:ascii="Consolas" w:hAnsi="Consolas" w:cs="Consolas"/>
          <w:color w:val="1A1A1A"/>
          <w:sz w:val="19"/>
          <w:szCs w:val="19"/>
        </w:rPr>
        <w:t xml:space="preserve"># Taxonomie alternative</w:t>
      </w:r>
    </w:p>
    <w:p>
      <w:pPr>
        <w:pBdr>
          <w:left w:val="single" w:sz="18" w:space="8" w:color="1F5C4A"/>
        </w:pBdr>
        <w:shd w:val="clear" w:fill="F2F4F2"/>
        <w:spacing w:after="200" w:before="0"/>
        <w:ind w:left="0"/>
      </w:pPr>
      <w:r>
        <w:rPr>
          <w:rFonts w:ascii="Consolas" w:hAnsi="Consolas" w:cs="Consolas"/>
          <w:color w:val="1A1A1A"/>
          <w:sz w:val="19"/>
          <w:szCs w:val="19"/>
        </w:rPr>
        <w:t xml:space="preserve">python src/data/data_pipeline.py --config config/data_config_no_debris.yaml --suffix _no_debris</w:t>
      </w:r>
    </w:p>
    <w:p>
      <w:pPr>
        <w:spacing w:after="200"/>
        <w:jc w:val="both"/>
      </w:pPr>
      <w:r>
        <w:rPr/>
        <w:t xml:space="preserve">Mettre à jour le dataset avec de nouvelles données suit exactement cette même logique, une fois ces données ajoutées dans 1_annotated_dataset en respectant la structure attendue (voir 3.1). Il convient de vérifier au préalable que les classes des nouvelles sources sont bien prises en charge par le référentiel commun, en particulier dans la table de correspondance (class_taxonomy/class_aliases de config/data_config.yaml) : il suffit le plus souvent d'y ajouter les alias du nouveau lot vers les super-classes correspondantes, sans toucher au code — l'étape 0 du pipeline signale de toute façon explicitement tout nom de classe qui n'y figurerait pas, plutôt que de l'ignorer en silence.</w:t>
      </w:r>
    </w:p>
    <w:p>
      <w:pPr>
        <w:spacing w:after="200"/>
        <w:jc w:val="both"/>
      </w:pPr>
      <w:r>
        <w:rPr/>
        <w:t xml:space="preserve">Ces vérifications faites, le pipeline peut être relancé. Pour un simple ajout de nouvelles données, sans changement de méthode, la même commande suffit (python src/data/data_pipeline.py --force) : le cache incrémental ne retraite pas les images déjà présentes dans 2_split_dataset, 3_augmented_dataset et 4_sliced_dataset, il se contente d'ajouter les nouvelles par-dessus l'existant. En cas de changement de méthode ou de modification de données déjà en place (une réannotation, par exemple), il est préférable de conserver une copie de l'ancien dataset préparé avant de relancer le pipeline, puis de régénérer sous une nouvelle référence plutôt que d'écraser silencieusement l'existant : --suffix (voir ci-dessus) offre ce mécanisme dès que la donnée source ou la taxonomie change ; à défaut, une copie manuelle des dossiers 2_split_dataset/3_augmented_dataset/4_sliced_dataset avant relance reste le filet de sécurité le plus simple, le pipeline ne conservant pas d'historique automatique d'une régénération au même emplacement.</w:t>
      </w:r>
    </w:p>
    <w:p>
      <w:pPr>
        <w:spacing w:after="200"/>
        <w:jc w:val="both"/>
      </w:pPr>
      <w:r>
        <w:rPr/>
        <w:t xml:space="preserve">Une fois le pipeline exécuté sans erreur bloquante, le dataset est prêt pour l'entraînement : tuilé, réparti entre train et validation, avec un split test qui reste aujourd'hui figé en dur par la sélection d'images déjà retenue (voir ci-dessous), pour garantir la comparabilité des runs dans le temps.</w:t>
      </w:r>
    </w:p>
    <w:p>
      <w:pPr>
        <w:spacing w:after="200"/>
        <w:jc w:val="both"/>
      </w:pPr>
      <w:r>
        <w:rPr/>
        <w:t xml:space="preserve">Le banc de test figé (</w:t>
      </w:r>
      <w:r>
        <w:rPr>
          <w:rFonts w:ascii="Consolas" w:hAnsi="Consolas" w:cs="Consolas"/>
          <w:color w:val="1F5C4A"/>
          <w:sz w:val="20"/>
          <w:szCs w:val="20"/>
        </w:rPr>
        <w:t xml:space="preserve">config/frozen_test_parents.json</w:t>
      </w:r>
      <w:r>
        <w:rPr/>
        <w:t xml:space="preserve">) n'a besoin d'aucune action pour continuer à s'appliquer : toute image ajoutée par la suite n'alimente plus que l'entraînement et la validation, jamais le test, tant que ce fichier existe. Le regeler explicitement (</w:t>
      </w:r>
      <w:r>
        <w:rPr>
          <w:rFonts w:ascii="Consolas" w:hAnsi="Consolas" w:cs="Consolas"/>
          <w:color w:val="1F5C4A"/>
          <w:sz w:val="20"/>
          <w:szCs w:val="20"/>
        </w:rPr>
        <w:t xml:space="preserve">python -m src.data.freeze_benchmark_test --force</w:t>
      </w:r>
      <w:r>
        <w:rPr/>
        <w:t xml:space="preserve">) ne devrait rester qu'un geste délibéré, décidé quand le test set doit vraiment évoluer — jamais un réflexe à chaque ajout de données, sous peine de perdre la comparabilité dans le temps que ce mécanisme protège.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200"/>
        <w:gridCol w:w="2938"/>
      </w:tblGrid>
      <w:tr>
        <w:trPr>
          <w:tblHeader/>
        </w:trPr>
        <w:tc>
          <w:tcPr>
            <w:tcW w:type="dxa" w:w="900"/>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left"/>
            </w:pPr>
            <w:r>
              <w:rPr>
                <w:b/>
                <w:bCs/>
                <w:color w:val="1F5C4A"/>
                <w:sz w:val="18"/>
                <w:szCs w:val="18"/>
              </w:rPr>
              <w:t xml:space="preserve">Étape</w:t>
            </w:r>
          </w:p>
        </w:tc>
        <w:tc>
          <w:tcPr>
            <w:tcW w:type="dxa" w:w="2600"/>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center"/>
            </w:pPr>
            <w:r>
              <w:rPr>
                <w:b/>
                <w:bCs/>
                <w:color w:val="1F5C4A"/>
                <w:sz w:val="18"/>
                <w:szCs w:val="18"/>
              </w:rPr>
              <w:t xml:space="preserve">Script</w:t>
            </w:r>
          </w:p>
        </w:tc>
        <w:tc>
          <w:tcPr>
            <w:tcW w:type="dxa" w:w="3200"/>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center"/>
            </w:pPr>
            <w:r>
              <w:rPr>
                <w:b/>
                <w:bCs/>
                <w:color w:val="1F5C4A"/>
                <w:sz w:val="18"/>
                <w:szCs w:val="18"/>
              </w:rPr>
              <w:t xml:space="preserve">Dossier de sortie</w:t>
            </w:r>
          </w:p>
        </w:tc>
        <w:tc>
          <w:tcPr>
            <w:tcW w:type="dxa" w:w="2938"/>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center"/>
            </w:pPr>
            <w:r>
              <w:rPr>
                <w:b/>
                <w:bCs/>
                <w:color w:val="1F5C4A"/>
                <w:sz w:val="18"/>
                <w:szCs w:val="18"/>
              </w:rPr>
              <w:t xml:space="preserve">Bloquant si erreur</w:t>
            </w:r>
          </w:p>
        </w:tc>
      </w:tr>
      <w:tr>
        <w:tc>
          <w:tcPr>
            <w:tcW w:type="dxa" w:w="9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0</w:t>
            </w:r>
          </w:p>
        </w:tc>
        <w:tc>
          <w:tcPr>
            <w:tcW w:type="dxa" w:w="2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raw_dataset_checker.py</w:t>
            </w:r>
          </w:p>
        </w:tc>
        <w:tc>
          <w:tcPr>
            <w:tcW w:type="dxa" w:w="32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(aucun — vérifie 1_annotated_dataset)</w:t>
            </w:r>
          </w:p>
        </w:tc>
        <w:tc>
          <w:tcPr>
            <w:tcW w:type="dxa" w:w="29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Oui</w:t>
            </w:r>
          </w:p>
        </w:tc>
      </w:tr>
      <w:tr>
        <w:tc>
          <w:tcPr>
            <w:tcW w:type="dxa" w:w="9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1</w:t>
            </w:r>
          </w:p>
        </w:tc>
        <w:tc>
          <w:tcPr>
            <w:tcW w:type="dxa" w:w="2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split_dataset.py</w:t>
            </w:r>
          </w:p>
        </w:tc>
        <w:tc>
          <w:tcPr>
            <w:tcW w:type="dxa" w:w="32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2_split_dataset</w:t>
            </w:r>
          </w:p>
        </w:tc>
        <w:tc>
          <w:tcPr>
            <w:tcW w:type="dxa" w:w="29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Non (cache incrémental)</w:t>
            </w:r>
          </w:p>
        </w:tc>
      </w:tr>
      <w:tr>
        <w:tc>
          <w:tcPr>
            <w:tcW w:type="dxa" w:w="9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2</w:t>
            </w:r>
          </w:p>
        </w:tc>
        <w:tc>
          <w:tcPr>
            <w:tcW w:type="dxa" w:w="2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augment_dataset.py</w:t>
            </w:r>
          </w:p>
        </w:tc>
        <w:tc>
          <w:tcPr>
            <w:tcW w:type="dxa" w:w="32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3_augmented_dataset</w:t>
            </w:r>
          </w:p>
        </w:tc>
        <w:tc>
          <w:tcPr>
            <w:tcW w:type="dxa" w:w="29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Non (cache incrémental)</w:t>
            </w:r>
          </w:p>
        </w:tc>
      </w:tr>
      <w:tr>
        <w:tc>
          <w:tcPr>
            <w:tcW w:type="dxa" w:w="9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3</w:t>
            </w:r>
          </w:p>
        </w:tc>
        <w:tc>
          <w:tcPr>
            <w:tcW w:type="dxa" w:w="2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slice_dataset.py</w:t>
            </w:r>
          </w:p>
        </w:tc>
        <w:tc>
          <w:tcPr>
            <w:tcW w:type="dxa" w:w="32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4_sliced_dataset</w:t>
            </w:r>
          </w:p>
        </w:tc>
        <w:tc>
          <w:tcPr>
            <w:tcW w:type="dxa" w:w="29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Non (cache incrémental)</w:t>
            </w:r>
          </w:p>
        </w:tc>
      </w:tr>
    </w:tbl>
    <w:p>
      <w:pPr>
        <w:spacing w:after="320" w:before="120"/>
      </w:pPr>
      <w:r>
        <w:rPr>
          <w:i/>
          <w:iCs/>
          <w:color w:val="5A5A5A"/>
          <w:sz w:val="19"/>
          <w:szCs w:val="19"/>
        </w:rPr>
        <w:t xml:space="preserve">Les quatre étapes de la préparation du dataset, dans l'ordre où data_pipeline.py les enchaîne.</w:t>
      </w:r>
    </w:p>
    <w:p>
      <w:pPr>
        <w:pStyle w:val="Heading1"/>
        <w:pageBreakBefore/>
        <w:spacing w:after="240" w:before="480"/>
      </w:pPr>
      <w:r>
        <w:t xml:space="preserve">4. Entraînement d'un modèle</w:t>
      </w:r>
    </w:p>
    <w:p>
      <w:pPr>
        <w:pStyle w:val="Heading2"/>
        <w:spacing w:after="160" w:before="340"/>
      </w:pPr>
      <w:r>
        <w:t xml:space="preserve">4.1 Entraînement d'un modèle : fonctionnement actuel</w:t>
      </w:r>
    </w:p>
    <w:p>
      <w:pPr>
        <w:spacing w:after="200"/>
        <w:jc w:val="both"/>
      </w:pPr>
      <w:r>
        <w:rPr>
          <w:rFonts w:ascii="Consolas" w:hAnsi="Consolas" w:cs="Consolas"/>
          <w:color w:val="1F5C4A"/>
          <w:sz w:val="20"/>
          <w:szCs w:val="20"/>
        </w:rPr>
        <w:t xml:space="preserve">src/training/train.py</w:t>
      </w:r>
      <w:r>
        <w:rPr/>
        <w:t xml:space="preserve"> est volontairement coupé en deux zones : une section de paramètres à ajuster en tête de fichier (la seule à modifier pour tester une nouvelle expérience) et le reste, l'orchestration (nommage des runs, non-écrasement, génération automatique du rapport), qui n'a normalement pas besoin d'être touché.</w:t>
      </w:r>
    </w:p>
    <w:p>
      <w:pPr>
        <w:spacing w:after="200"/>
        <w:jc w:val="both"/>
      </w:pPr>
      <w:r>
        <w:rPr/>
        <w:t xml:space="preserve">Le modèle se choisit par une seule ligne, combinant une famille (YOLOv8 ou YOLOv11) et une taille (nano à xlarge), suffixée </w:t>
      </w:r>
      <w:r>
        <w:rPr>
          <w:rFonts w:ascii="Consolas" w:hAnsi="Consolas" w:cs="Consolas"/>
          <w:color w:val="1F5C4A"/>
          <w:sz w:val="20"/>
          <w:szCs w:val="20"/>
        </w:rPr>
        <w:t xml:space="preserve">-seg</w:t>
      </w:r>
      <w:r>
        <w:rPr/>
        <w:t xml:space="preserve"> — seules les variantes segmentation sont pertinentes ici, PixelOdyssey délimitant des masques, pas seulement des boîtes. Le poids pré-entraîné correspondant est téléchargé et mis en cache automatiquement au premier lancement, sans gestion manuelle d'URL.</w:t>
      </w:r>
    </w:p>
    <w:p>
      <w:pPr>
        <w:spacing w:after="200"/>
        <w:jc w:val="both"/>
      </w:pPr>
      <w:r>
        <w:rPr/>
        <w:t xml:space="preserve">L'entraînement de référence tourne sur cent époques au maximum, avec un arrêt anticipé après vingt sans progrès sur la validation, un lot de seize images à la fois, et un nombre de workers de chargement fixé à quatre par précaution après un crash de ressources système déjà survenu sous Windows pendant une validation (WinError 1450). À noter en l'état actuel du fichier : le commentaire à côté de ce réglage évoque une réduction de quatre à deux qui ne se reflète pas dans la valeur réellement affectée (toujours 4) — une incohérence mineure entre code et commentaire à clarifier, sans conséquence sur les runs déjà produits.</w:t>
      </w:r>
    </w:p>
    <w:p>
      <w:pPr>
        <w:spacing w:after="200"/>
        <w:jc w:val="both"/>
      </w:pPr>
      <w:r>
        <w:rPr/>
        <w:t xml:space="preserve">Deux réglages d'augmentation corrigent un fait géométrique du dataset plutôt qu'un simple choix de méthode : les images sont des vues verticales, sans aucun "haut" naturel contrairement à une photographie avec un horizon — l'entraînement applique donc une rotation aléatoire sur tout le cercle (</w:t>
      </w:r>
      <w:r>
        <w:rPr>
          <w:rFonts w:ascii="Consolas" w:hAnsi="Consolas" w:cs="Consolas"/>
          <w:color w:val="1F5C4A"/>
          <w:sz w:val="20"/>
          <w:szCs w:val="20"/>
        </w:rPr>
        <w:t xml:space="preserve">degrees=180</w:t>
      </w:r>
      <w:r>
        <w:rPr/>
        <w:t xml:space="preserve">, contre </w:t>
      </w:r>
      <w:r>
        <w:rPr>
          <w:rFonts w:ascii="Consolas" w:hAnsi="Consolas" w:cs="Consolas"/>
          <w:color w:val="1F5C4A"/>
          <w:sz w:val="20"/>
          <w:szCs w:val="20"/>
        </w:rPr>
        <w:t xml:space="preserve">0</w:t>
      </w:r>
      <w:r>
        <w:rPr/>
        <w:t xml:space="preserve"> par défaut) et un retournement vertical aléatoire (</w:t>
      </w:r>
      <w:r>
        <w:rPr>
          <w:rFonts w:ascii="Consolas" w:hAnsi="Consolas" w:cs="Consolas"/>
          <w:color w:val="1F5C4A"/>
          <w:sz w:val="20"/>
          <w:szCs w:val="20"/>
        </w:rPr>
        <w:t xml:space="preserve">flipud=0.5</w:t>
      </w:r>
      <w:r>
        <w:rPr/>
        <w:t xml:space="preserve">, aligné sur le retournement horizontal déjà actif par défaut). Contrairement aux leviers suivants, désactiver ces deux réglages reste une mauvaise idée quel que soit le nombre de classes du modèle — ce n'est jamais une décision anodine.</w:t>
      </w:r>
    </w:p>
    <w:p>
      <w:pPr>
        <w:spacing w:after="200"/>
        <w:jc w:val="both"/>
      </w:pPr>
      <w:r>
        <w:rPr/>
        <w:t xml:space="preserve">Plusieurs autres leviers, tous des mécanismes natifs du framework de détection plutôt que du code écrit pour ce projet, ont été isolés un par un contre la même configuration de référence au fil des essais d'août 2026 (détail chiffré en annexe C)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438"/>
      </w:tblGrid>
      <w:tr>
        <w:trPr>
          <w:tblHeader/>
        </w:trPr>
        <w:tc>
          <w:tcPr>
            <w:tcW w:type="dxa" w:w="2400"/>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left"/>
            </w:pPr>
            <w:r>
              <w:rPr>
                <w:b/>
                <w:bCs/>
                <w:color w:val="1F5C4A"/>
                <w:sz w:val="18"/>
                <w:szCs w:val="18"/>
              </w:rPr>
              <w:t xml:space="preserve">Levier</w:t>
            </w:r>
          </w:p>
        </w:tc>
        <w:tc>
          <w:tcPr>
            <w:tcW w:type="dxa" w:w="3800"/>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center"/>
            </w:pPr>
            <w:r>
              <w:rPr>
                <w:b/>
                <w:bCs/>
                <w:color w:val="1F5C4A"/>
                <w:sz w:val="18"/>
                <w:szCs w:val="18"/>
              </w:rPr>
              <w:t xml:space="preserve">Ce qu'il fait</w:t>
            </w:r>
          </w:p>
        </w:tc>
        <w:tc>
          <w:tcPr>
            <w:tcW w:type="dxa" w:w="3438"/>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center"/>
            </w:pPr>
            <w:r>
              <w:rPr>
                <w:b/>
                <w:bCs/>
                <w:color w:val="1F5C4A"/>
                <w:sz w:val="18"/>
                <w:szCs w:val="18"/>
              </w:rPr>
              <w:t xml:space="preserve">Point de vigilance</w:t>
            </w:r>
          </w:p>
        </w:tc>
      </w:tr>
      <w:tr>
        <w:tc>
          <w:tcPr>
            <w:tcW w:type="dxa" w:w="2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COPY_PASTE / COPY_PASTE_MODE</w:t>
            </w:r>
          </w:p>
        </w:tc>
        <w:tc>
          <w:tcPr>
            <w:tcW w:type="dxa" w:w="38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Colle une instance segmentée dans le même batch, pour sur-échantillonner les classes rares ou simuler des déchets rapprochés.</w:t>
            </w:r>
          </w:p>
        </w:tc>
        <w:tc>
          <w:tcPr>
            <w:tcW w:type="dxa" w:w="34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Le mode « flip » (retenu) colle une copie miroir d'une instance de la MÊME image (même éclairage, même grain) ; « mixup » colle une instance d'une autre image, visuellement plus risqué.</w:t>
            </w:r>
          </w:p>
        </w:tc>
      </w:tr>
      <w:tr>
        <w:tc>
          <w:tcPr>
            <w:tcW w:type="dxa" w:w="2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CLS_PW</w:t>
            </w:r>
          </w:p>
        </w:tc>
        <w:tc>
          <w:tcPr>
            <w:tcW w:type="dxa" w:w="38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Pondère la perte de classification par l'inverse de fréquence de chaque classe, calculée sur le train uniquement.</w:t>
            </w:r>
          </w:p>
        </w:tc>
        <w:tc>
          <w:tcPr>
            <w:tcW w:type="dxa" w:w="34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1 = pondération complète, risqué vu le déséquilibre extrême du dataset ; 0 = désactivé.</w:t>
            </w:r>
          </w:p>
        </w:tc>
      </w:tr>
      <w:tr>
        <w:tc>
          <w:tcPr>
            <w:tcW w:type="dxa" w:w="2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MIXUP</w:t>
            </w:r>
          </w:p>
        </w:tc>
        <w:tc>
          <w:tcPr>
            <w:tcW w:type="dxa" w:w="38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Mélange deux images entières par fondu (alpha blend) — mécanisme différent de COPY_PASTE, qui ne colle que des instances découpées.</w:t>
            </w:r>
          </w:p>
        </w:tc>
        <w:tc>
          <w:tcPr>
            <w:tcW w:type="dxa" w:w="34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Risque de brouiller des masques déjà petits.</w:t>
            </w:r>
          </w:p>
        </w:tc>
      </w:tr>
      <w:tr>
        <w:tc>
          <w:tcPr>
            <w:tcW w:type="dxa" w:w="2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OVERLAP_MASK</w:t>
            </w:r>
          </w:p>
        </w:tc>
        <w:tc>
          <w:tcPr>
            <w:tcW w:type="dxa" w:w="38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Ultralytics fusionne par défaut tous les masques qui se chevauchent en un seul canal, ne gardant que le plus grand objet à chaque pixel.</w:t>
            </w:r>
          </w:p>
        </w:tc>
        <w:tc>
          <w:tcPr>
            <w:tcW w:type="dxa" w:w="34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Désactiver (False) donne un canal par instance, au prix d'un coût mémoire plus élevé sur des tuiles très denses.</w:t>
            </w:r>
          </w:p>
        </w:tc>
      </w:tr>
    </w:tbl>
    <w:p>
      <w:pPr>
        <w:spacing w:after="200"/>
        <w:jc w:val="both"/>
      </w:pPr>
      <w:r>
        <w:rPr/>
        <w:t xml:space="preserve">Aucun de ces leviers n'a remplacé la configuration de référence à ce jour (voir le rapport de bilan de projet, section 3.3, pour le détail chiffré) ; ils restent décrits ici parce qu'ils réapparaîtront à chaque nouvelle tentative de rééquilibrage, et que leur code garde la trace du raisonnement — et des essais déjà faits — en commentaire, à lire avant de les réactiver.</w:t>
      </w:r>
    </w:p>
    <w:p>
      <w:pPr>
        <w:spacing w:after="200"/>
        <w:jc w:val="both"/>
      </w:pPr>
      <w:r>
        <w:rPr/>
        <w:t xml:space="preserve">Chaque run s'écrit dans un dossier jamais réutilisé, nommé à partir de l'étiquette choisie, du modèle et d'un horodatage à la seconde (</w:t>
      </w:r>
      <w:r>
        <w:rPr>
          <w:rFonts w:ascii="Consolas" w:hAnsi="Consolas" w:cs="Consolas"/>
          <w:color w:val="1F5C4A"/>
          <w:sz w:val="20"/>
          <w:szCs w:val="20"/>
        </w:rPr>
        <w:t xml:space="preserve">output/runs/&lt;étiquette&gt;_&lt;modèle&gt;_&lt;horodatage&gt;/</w:t>
      </w:r>
      <w:r>
        <w:rPr/>
        <w:t xml:space="preserve">) ; un garde-fou supplémentaire fait échouer l'entraînement plutôt que d'écraser silencieusement un run existant en cas de collision. À la fin de l'entraînement, le rapport de lecture (voir 5.1) est généré automatiquement sur les ensembles de validation et de test ; un échec de cette étape n'invalide jamais l'entraînement lui-même, il suffit de la relancer séparément (commande en 5.2).</w:t>
      </w:r>
    </w:p>
    <w:p>
      <w:pPr>
        <w:pStyle w:val="Heading2"/>
        <w:spacing w:after="160" w:before="340"/>
      </w:pPr>
      <w:r>
        <w:t xml:space="preserve">4.2 Entraînement d'un modèle : guide d'utilisation</w:t>
      </w:r>
    </w:p>
    <w:p>
      <w:pPr>
        <w:pBdr>
          <w:left w:val="single" w:sz="18" w:space="8" w:color="1F5C4A"/>
        </w:pBdr>
        <w:shd w:val="clear" w:fill="F2F4F2"/>
        <w:spacing w:after="200" w:before="160"/>
        <w:ind w:left="0"/>
      </w:pPr>
      <w:r>
        <w:rPr>
          <w:rFonts w:ascii="Consolas" w:hAnsi="Consolas" w:cs="Consolas"/>
          <w:color w:val="1A1A1A"/>
          <w:sz w:val="19"/>
          <w:szCs w:val="19"/>
        </w:rPr>
        <w:t xml:space="preserve">python -m src.training.train</w:t>
      </w:r>
    </w:p>
    <w:p>
      <w:pPr>
        <w:spacing w:after="200"/>
        <w:jc w:val="both"/>
      </w:pPr>
      <w:r>
        <w:rPr/>
        <w:t xml:space="preserve">Pour une taxonomie ou un dataset alternatif (mono-classe, sans une classe donnée, dédié à un site), passer </w:t>
      </w:r>
      <w:r>
        <w:rPr>
          <w:rFonts w:ascii="Consolas" w:hAnsi="Consolas" w:cs="Consolas"/>
          <w:color w:val="1F5C4A"/>
          <w:sz w:val="20"/>
          <w:szCs w:val="20"/>
        </w:rPr>
        <w:t xml:space="preserve">--config</w:t>
      </w:r>
      <w:r>
        <w:rPr/>
        <w:t xml:space="preserve"> en ligne de commande plutôt que d'éditer la constante en tête de fichier — ça évite de laisser une expérience active par erreur au prochain run "normal" :</w:t>
      </w:r>
    </w:p>
    <w:p>
      <w:pPr>
        <w:pBdr>
          <w:left w:val="single" w:sz="18" w:space="8" w:color="1F5C4A"/>
        </w:pBdr>
        <w:shd w:val="clear" w:fill="F2F4F2"/>
        <w:spacing w:after="200" w:before="160"/>
        <w:ind w:left="0"/>
      </w:pPr>
      <w:r>
        <w:rPr>
          <w:rFonts w:ascii="Consolas" w:hAnsi="Consolas" w:cs="Consolas"/>
          <w:color w:val="1A1A1A"/>
          <w:sz w:val="19"/>
          <w:szCs w:val="19"/>
        </w:rPr>
        <w:t xml:space="preserve">python -m src.training.train --config config/data_config_SL.yaml --tag test_SL</w:t>
      </w:r>
    </w:p>
    <w:p>
      <w:pPr>
        <w:spacing w:after="200"/>
        <w:jc w:val="both"/>
      </w:pPr>
      <w:r>
        <w:rPr>
          <w:rFonts w:ascii="Consolas" w:hAnsi="Consolas" w:cs="Consolas"/>
          <w:color w:val="1F5C4A"/>
          <w:sz w:val="20"/>
          <w:szCs w:val="20"/>
        </w:rPr>
        <w:t xml:space="preserve">--default-augment</w:t>
      </w:r>
      <w:r>
        <w:rPr/>
        <w:t xml:space="preserve"> saute tous les réglages d'augmentation et de rééquilibrage personnalisés d'un coup, pour repartir des défauts purs du framework — utile pour un baseline de comparaison, mais attention : ça désactive aussi la rotation et le retournement vertical, qui ne sont pas de simples leviers de rééquilibrage mais une correction du fait que les images sont des vues verticales sans orientation privilégiée. À activer consciemment, jamais par réflexe.</w:t>
      </w:r>
    </w:p>
    <w:p>
      <w:pPr>
        <w:spacing w:after="200"/>
        <w:jc w:val="both"/>
      </w:pPr>
      <w:r>
        <w:rPr/>
        <w:t xml:space="preserve">Point de méthode avant de choisir une architecture plus grande : plus de capacité (nano vers medium) n'aide que si la faiblesse observée est un problème de PRÉCISION du modèle (contours de masque imprécis, généralisation qui plafonne malgré des données suffisantes) — jamais un problème de VOLUME ou de DIVERSITÉ de données, qu'une architecture plus grande ne fait qu'aggraver côté surapprentissage sur un dataset encore de taille modeste. Toujours regarder le rapport par classe d'un run nano avant de sauter à une taille supérieure.</w:t>
      </w:r>
    </w:p>
    <w:p>
      <w:pPr>
        <w:spacing w:after="200"/>
        <w:jc w:val="both"/>
      </w:pPr>
      <w:r>
        <w:rPr/>
        <w:t xml:space="preserve">Méthode à appliquer systématiquement pour toute nouvelle expérience, déjà la règle suivie sur ce projet : changer une seule variable non testée à la fois par rapport à un run de référence stable, lancer, comparer via </w:t>
      </w:r>
      <w:r>
        <w:rPr>
          <w:rFonts w:ascii="Consolas" w:hAnsi="Consolas" w:cs="Consolas"/>
          <w:color w:val="1F5C4A"/>
          <w:sz w:val="20"/>
          <w:szCs w:val="20"/>
        </w:rPr>
        <w:t xml:space="preserve">compare_runs.py</w:t>
      </w:r>
      <w:r>
        <w:rPr/>
        <w:t xml:space="preserve"> (5.2), décider, puis seulement ensuite changer la suivante. Un run qui change plusieurs choses à la fois rend impossible d'attribuer un écart de performance à une cause précise — déjà arrivé sur ce projet (voir le rapport de bilan de projet, section 3.3).</w:t>
      </w:r>
    </w:p>
    <w:p>
      <w:pPr>
        <w:pStyle w:val="Heading1"/>
        <w:pageBreakBefore/>
        <w:spacing w:after="240" w:before="480"/>
      </w:pPr>
      <w:r>
        <w:t xml:space="preserve">5. Lecture des résultats</w:t>
      </w:r>
    </w:p>
    <w:p>
      <w:pPr>
        <w:pStyle w:val="Heading2"/>
        <w:spacing w:after="160" w:before="340"/>
      </w:pPr>
      <w:r>
        <w:t xml:space="preserve">5.1 Lecture des résultats : fonctionnement actuel</w:t>
      </w:r>
    </w:p>
    <w:p>
      <w:pPr>
        <w:spacing w:after="200"/>
        <w:jc w:val="both"/>
      </w:pPr>
      <w:r>
        <w:rPr>
          <w:rFonts w:ascii="Consolas" w:hAnsi="Consolas" w:cs="Consolas"/>
          <w:color w:val="1F5C4A"/>
          <w:sz w:val="20"/>
          <w:szCs w:val="20"/>
        </w:rPr>
        <w:t xml:space="preserve">training_report.py</w:t>
      </w:r>
      <w:r>
        <w:rPr/>
        <w:t xml:space="preserve"> évalue les poids d'un run (</w:t>
      </w:r>
      <w:r>
        <w:rPr>
          <w:rFonts w:ascii="Consolas" w:hAnsi="Consolas" w:cs="Consolas"/>
          <w:color w:val="1F5C4A"/>
          <w:sz w:val="20"/>
          <w:szCs w:val="20"/>
        </w:rPr>
        <w:t xml:space="preserve">best.pt</w:t>
      </w:r>
      <w:r>
        <w:rPr/>
        <w:t xml:space="preserve"> par défaut) sur chaque split disponible et produit deux fichiers dans le dossier du run : un rapport HTML lisible (</w:t>
      </w:r>
      <w:r>
        <w:rPr>
          <w:rFonts w:ascii="Consolas" w:hAnsi="Consolas" w:cs="Consolas"/>
          <w:color w:val="1F5C4A"/>
          <w:sz w:val="20"/>
          <w:szCs w:val="20"/>
        </w:rPr>
        <w:t xml:space="preserve">rapport_lecture.html</w:t>
      </w:r>
      <w:r>
        <w:rPr/>
        <w:t xml:space="preserve">) et un JSON machine-lisible (</w:t>
      </w:r>
      <w:r>
        <w:rPr>
          <w:rFonts w:ascii="Consolas" w:hAnsi="Consolas" w:cs="Consolas"/>
          <w:color w:val="1F5C4A"/>
          <w:sz w:val="20"/>
          <w:szCs w:val="20"/>
        </w:rPr>
        <w:t xml:space="preserve">rapport_metrics.json</w:t>
      </w:r>
      <w:r>
        <w:rPr/>
        <w:t xml:space="preserve">) que lisent ensuite </w:t>
      </w:r>
      <w:r>
        <w:rPr>
          <w:rFonts w:ascii="Consolas" w:hAnsi="Consolas" w:cs="Consolas"/>
          <w:color w:val="1F5C4A"/>
          <w:sz w:val="20"/>
          <w:szCs w:val="20"/>
        </w:rPr>
        <w:t xml:space="preserve">compare_runs.py</w:t>
      </w:r>
      <w:r>
        <w:rPr/>
        <w:t xml:space="preserve"> et </w:t>
      </w:r>
      <w:r>
        <w:rPr>
          <w:rFonts w:ascii="Consolas" w:hAnsi="Consolas" w:cs="Consolas"/>
          <w:color w:val="1F5C4A"/>
          <w:sz w:val="20"/>
          <w:szCs w:val="20"/>
        </w:rPr>
        <w:t xml:space="preserve">runs_dashboard.py</w:t>
      </w:r>
      <w:r>
        <w:rPr/>
        <w:t xml:space="preserve">. Appelé automatiquement à la fin de l'entraînement, il peut aussi être relancé seul, à tout moment, sans réentraîner.</w:t>
      </w:r>
    </w:p>
    <w:p>
      <w:pPr>
        <w:spacing w:after="200"/>
        <w:jc w:val="both"/>
      </w:pPr>
      <w:r>
        <w:rPr/>
        <w:t xml:space="preserve">Chaque split lu porte un rôle distinct, rappelé dans le rapport lui-même : validation a été vue indirectement pendant l'entraînement (arrêt anticipé, choix d'hyperparamètres), donc légèrement optimiste ; test n'est jamais touché, c'est la meilleure estimation de la performance réelle sur des images de terrain jamais vues.</w:t>
      </w:r>
    </w:p>
    <w:p>
      <w:pPr>
        <w:spacing w:after="200"/>
        <w:jc w:val="both"/>
      </w:pPr>
      <w:r>
        <w:rPr/>
        <w:t xml:space="preserve">Pour chaque split, le rapport affiche des métriques macro (moyenne simple par classe — précision, rappel, F1, mAP50, mAP50-95) et des métriques globales, pondérées par le nombre réel d'instances de chaque classe plutôt que moyennées à poids égal : une classe très fréquente y pèse davantage, contrairement à la moyenne macro. Un tableau détaille chaque classe avec son taux de faux négatifs (déchets ratés, 1 − rappel) et de faux positifs (fausses alertes, 1 − précision), signalés au-delà de 50 %, accompagné de constats générés automatiquement en langage clair à partir de ces mêmes seuils — jamais besoin de relire un tableau brut pour repérer une classe qui pose problème.</w:t>
      </w:r>
    </w:p>
    <w:p>
      <w:pPr>
        <w:spacing w:after="200"/>
        <w:jc w:val="both"/>
      </w:pPr>
      <w:r>
        <w:rPr/>
        <w:t xml:space="preserve">La matrice de confusion affichée est calculée sur les boîtes englobantes, même pour un modèle de segmentation — utile pour voir QUELLES classes se confondent entre elles, mais ce n'est jamais la métrique qui fait foi ailleurs dans le rapport ou dans ce document : les métriques par masque (Mask-P/Mask-R) restent seules officielles, plus fidèles à la tâche réelle de délimiter un déchet plutôt que de simplement le repérer.</w:t>
      </w:r>
    </w:p>
    <w:p>
      <w:pPr>
        <w:spacing w:after="200"/>
        <w:jc w:val="both"/>
      </w:pPr>
      <w:r>
        <w:rPr/>
        <w:t xml:space="preserve">Avant toute évaluation, un garde-fou compare la taxonomie embarquée dans les poids du modèle (fixée au moment de son entraînement) à celle du fichier de configuration utilisé pour l'évaluation, et arrête l'exécution avec une erreur explicite en cas de désaccord plutôt que de produire un tableau par classe silencieusement décalé. Un identifiant de classe peut en effet désigner une classe différente avant et après un changement de taxonomie ; un modèle entraîné sous une taxonomie révolue doit être réentraîné pour redevenir comparable, jamais simplement réévalué.</w:t>
      </w:r>
    </w:p>
    <w:p>
      <w:pPr>
        <w:spacing w:after="200"/>
        <w:jc w:val="both"/>
      </w:pPr>
      <w:r>
        <w:rPr>
          <w:rFonts w:ascii="Consolas" w:hAnsi="Consolas" w:cs="Consolas"/>
          <w:color w:val="1F5C4A"/>
          <w:sz w:val="20"/>
          <w:szCs w:val="20"/>
        </w:rPr>
        <w:t xml:space="preserve">compare_runs.py</w:t>
      </w:r>
      <w:r>
        <w:rPr/>
        <w:t xml:space="preserve"> reste l'outil de référence pour comparer deux ou trois runs en détail : un tableau par classe côte à côte pour chaque split commun, précédé d'un diagnostic explicite qui signale si les hyperparamètres réels (relus dans </w:t>
      </w:r>
      <w:r>
        <w:rPr>
          <w:rFonts w:ascii="Consolas" w:hAnsi="Consolas" w:cs="Consolas"/>
          <w:color w:val="1F5C4A"/>
          <w:sz w:val="20"/>
          <w:szCs w:val="20"/>
        </w:rPr>
        <w:t xml:space="preserve">args.yaml</w:t>
      </w:r>
      <w:r>
        <w:rPr/>
        <w:t xml:space="preserve">, pas supposés inchangés) ou l'empreinte de la donnée d'entraînement diffèrent entre les runs comparés — une comparaison de performance n'a de sens que si une seule chose a changé, jamais une supposition silencieuse.</w:t>
      </w:r>
    </w:p>
    <w:p>
      <w:pPr>
        <w:spacing w:after="200"/>
        <w:jc w:val="both"/>
      </w:pPr>
      <w:r>
        <w:rPr/>
        <w:t xml:space="preserve">Au-delà de deux ou trois runs, un tableau terminal devient illisible : </w:t>
      </w:r>
      <w:r>
        <w:rPr>
          <w:rFonts w:ascii="Consolas" w:hAnsi="Consolas" w:cs="Consolas"/>
          <w:color w:val="1F5C4A"/>
          <w:sz w:val="20"/>
          <w:szCs w:val="20"/>
        </w:rPr>
        <w:t xml:space="preserve">runs_dashboard.py</w:t>
      </w:r>
      <w:r>
        <w:rPr/>
        <w:t xml:space="preserve"> produit à la place une vue d'ensemble triable de TOUS les runs disponibles (page HTML et CSV), un run par ligne. Il relit directement </w:t>
      </w:r>
      <w:r>
        <w:rPr>
          <w:rFonts w:ascii="Consolas" w:hAnsi="Consolas" w:cs="Consolas"/>
          <w:color w:val="1F5C4A"/>
          <w:sz w:val="20"/>
          <w:szCs w:val="20"/>
        </w:rPr>
        <w:t xml:space="preserve">args.yaml</w:t>
      </w:r>
      <w:r>
        <w:rPr/>
        <w:t xml:space="preserve"> de chaque run plutôt que de réutiliser le sous-ensemble d'hyperparamètres déjà retenu dans </w:t>
      </w:r>
      <w:r>
        <w:rPr>
          <w:rFonts w:ascii="Consolas" w:hAnsi="Consolas" w:cs="Consolas"/>
          <w:color w:val="1F5C4A"/>
          <w:sz w:val="20"/>
          <w:szCs w:val="20"/>
        </w:rPr>
        <w:t xml:space="preserve">rapport_metrics.json</w:t>
      </w:r>
      <w:r>
        <w:rPr/>
        <w:t xml:space="preserve"> — ce sous-ensemble ne couvre pas certains réglages d'ablation testés fin août 2026 (le mode de collage, la pondération de classe, la fusion des masques), qui auraient sinon disparu silencieusement de cette vue d'ensemble.</w:t>
      </w:r>
    </w:p>
    <w:p>
      <w:pPr>
        <w:pStyle w:val="Heading2"/>
        <w:spacing w:after="160" w:before="340"/>
      </w:pPr>
      <w:r>
        <w:t xml:space="preserve">5.2 Lecture des résultats : guide d'utilisation</w:t>
      </w:r>
    </w:p>
    <w:p>
      <w:pPr>
        <w:pBdr>
          <w:left w:val="single" w:sz="18" w:space="8" w:color="1F5C4A"/>
        </w:pBdr>
        <w:shd w:val="clear" w:fill="F2F4F2"/>
        <w:spacing w:after="200" w:before="160"/>
        <w:ind w:left="0"/>
      </w:pPr>
      <w:r>
        <w:rPr>
          <w:rFonts w:ascii="Consolas" w:hAnsi="Consolas" w:cs="Consolas"/>
          <w:color w:val="1A1A1A"/>
          <w:sz w:val="19"/>
          <w:szCs w:val="19"/>
        </w:rPr>
        <w:t xml:space="preserve">python -m src.training.training_report --run output/runs/&lt;nom_du_run&gt;</w:t>
      </w:r>
    </w:p>
    <w:p>
      <w:pPr>
        <w:pBdr>
          <w:left w:val="single" w:sz="18" w:space="8" w:color="1F5C4A"/>
        </w:pBdr>
        <w:shd w:val="clear" w:fill="F2F4F2"/>
        <w:spacing w:after="40" w:before="160"/>
        <w:ind w:left="0"/>
      </w:pPr>
      <w:r>
        <w:rPr>
          <w:rFonts w:ascii="Consolas" w:hAnsi="Consolas" w:cs="Consolas"/>
          <w:color w:val="1A1A1A"/>
          <w:sz w:val="19"/>
          <w:szCs w:val="19"/>
        </w:rPr>
        <w:t xml:space="preserve">python -m src.training.compare_runs output/runs/&lt;run_a&gt; output/runs/&lt;run_b&gt;</w:t>
      </w:r>
    </w:p>
    <w:p>
      <w:pPr>
        <w:pBdr>
          <w:left w:val="single" w:sz="18" w:space="8" w:color="1F5C4A"/>
        </w:pBdr>
        <w:shd w:val="clear" w:fill="F2F4F2"/>
        <w:spacing w:after="200" w:before="0"/>
        <w:ind w:left="0"/>
      </w:pPr>
      <w:r>
        <w:rPr>
          <w:rFonts w:ascii="Consolas" w:hAnsi="Consolas" w:cs="Consolas"/>
          <w:color w:val="1A1A1A"/>
          <w:sz w:val="19"/>
          <w:szCs w:val="19"/>
        </w:rPr>
        <w:t xml:space="preserve">python -m src.training.compare_runs output/runs/&lt;run_a&gt; output/runs/&lt;run_b&gt; --out-csv comparaison.csv</w:t>
      </w:r>
    </w:p>
    <w:p>
      <w:pPr>
        <w:pBdr>
          <w:left w:val="single" w:sz="18" w:space="8" w:color="1F5C4A"/>
        </w:pBdr>
        <w:shd w:val="clear" w:fill="F2F4F2"/>
        <w:spacing w:after="200" w:before="160"/>
        <w:ind w:left="0"/>
      </w:pPr>
      <w:r>
        <w:rPr>
          <w:rFonts w:ascii="Consolas" w:hAnsi="Consolas" w:cs="Consolas"/>
          <w:color w:val="1A1A1A"/>
          <w:sz w:val="19"/>
          <w:szCs w:val="19"/>
        </w:rPr>
        <w:t xml:space="preserve">python -m src.training.runs_dashboard</w:t>
      </w:r>
    </w:p>
    <w:p>
      <w:pPr>
        <w:spacing w:after="200"/>
        <w:jc w:val="both"/>
      </w:pPr>
      <w:r>
        <w:rPr/>
        <w:t xml:space="preserve">Quelques réflexes à garder en lisant n'importe laquelle de ces sorties : toujours conclure sur les chiffres TEST, jamais seulement validation — une amélioration nette sur validation peut ne pas se confirmer sur test, déjà observé sur ce projet. Se méfier d'un écart mesuré sur une classe à faible effectif de test : quelques instances de différence peuvent produire un delta de plusieurs points sans être un vrai signal. Le F1 résume un compromis précision/rappel qui bouge en sens opposé, mais reste un résumé : toujours relire précision et rappel séparément avant de conclure, un F1 stable pouvant masquer un vrai changement de point de fonctionnement plutôt qu'une absence de changement.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700"/>
        <w:gridCol w:w="3538"/>
      </w:tblGrid>
      <w:tr>
        <w:trPr>
          <w:tblHeader/>
        </w:trPr>
        <w:tc>
          <w:tcPr>
            <w:tcW w:type="dxa" w:w="3400"/>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left"/>
            </w:pPr>
            <w:r>
              <w:rPr>
                <w:b/>
                <w:bCs/>
                <w:color w:val="1F5C4A"/>
                <w:sz w:val="18"/>
                <w:szCs w:val="18"/>
              </w:rPr>
              <w:t xml:space="preserve">Besoin</w:t>
            </w:r>
          </w:p>
        </w:tc>
        <w:tc>
          <w:tcPr>
            <w:tcW w:type="dxa" w:w="2700"/>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center"/>
            </w:pPr>
            <w:r>
              <w:rPr>
                <w:b/>
                <w:bCs/>
                <w:color w:val="1F5C4A"/>
                <w:sz w:val="18"/>
                <w:szCs w:val="18"/>
              </w:rPr>
              <w:t xml:space="preserve">Outil</w:t>
            </w:r>
          </w:p>
        </w:tc>
        <w:tc>
          <w:tcPr>
            <w:tcW w:type="dxa" w:w="3538"/>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center"/>
            </w:pPr>
            <w:r>
              <w:rPr>
                <w:b/>
                <w:bCs/>
                <w:color w:val="1F5C4A"/>
                <w:sz w:val="18"/>
                <w:szCs w:val="18"/>
              </w:rPr>
              <w:t xml:space="preserve">Commande-type</w:t>
            </w:r>
          </w:p>
        </w:tc>
      </w:tr>
      <w:tr>
        <w:tc>
          <w:tcPr>
            <w:tcW w:type="dxa" w:w="3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Lire un seul run</w:t>
            </w:r>
          </w:p>
        </w:tc>
        <w:tc>
          <w:tcPr>
            <w:tcW w:type="dxa" w:w="27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training_report.py</w:t>
            </w:r>
          </w:p>
        </w:tc>
        <w:tc>
          <w:tcPr>
            <w:tcW w:type="dxa" w:w="35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--run &lt;dossier&gt;</w:t>
            </w:r>
          </w:p>
        </w:tc>
      </w:tr>
      <w:tr>
        <w:tc>
          <w:tcPr>
            <w:tcW w:type="dxa" w:w="3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Comparer 2-3 runs en détail</w:t>
            </w:r>
          </w:p>
        </w:tc>
        <w:tc>
          <w:tcPr>
            <w:tcW w:type="dxa" w:w="27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compare_runs.py</w:t>
            </w:r>
          </w:p>
        </w:tc>
        <w:tc>
          <w:tcPr>
            <w:tcW w:type="dxa" w:w="35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&lt;run_a&gt; &lt;run_b&gt; [--out-csv ...]</w:t>
            </w:r>
          </w:p>
        </w:tc>
      </w:tr>
      <w:tr>
        <w:tc>
          <w:tcPr>
            <w:tcW w:type="dxa" w:w="3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Vue d'ensemble de tous les runs</w:t>
            </w:r>
          </w:p>
        </w:tc>
        <w:tc>
          <w:tcPr>
            <w:tcW w:type="dxa" w:w="27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runs_dashboard.py</w:t>
            </w:r>
          </w:p>
        </w:tc>
        <w:tc>
          <w:tcPr>
            <w:tcW w:type="dxa" w:w="35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(aucun argument requis)</w:t>
            </w:r>
          </w:p>
        </w:tc>
      </w:tr>
      <w:tr>
        <w:tc>
          <w:tcPr>
            <w:tcW w:type="dxa" w:w="3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Évaluer un run sur un sous-ensemble de lots (ex. un site)</w:t>
            </w:r>
          </w:p>
        </w:tc>
        <w:tc>
          <w:tcPr>
            <w:tcW w:type="dxa" w:w="27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scoped_report.py (src/review/)</w:t>
            </w:r>
          </w:p>
        </w:tc>
        <w:tc>
          <w:tcPr>
            <w:tcW w:type="dxa" w:w="35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--run &lt;dossier&gt; --batch-filter "SL" --label SantaLuzia</w:t>
            </w:r>
          </w:p>
        </w:tc>
      </w:tr>
    </w:tbl>
    <w:p>
      <w:pPr>
        <w:spacing w:after="320" w:before="120"/>
      </w:pPr>
      <w:r>
        <w:rPr>
          <w:i/>
          <w:iCs/>
          <w:color w:val="5A5A5A"/>
          <w:sz w:val="19"/>
          <w:szCs w:val="19"/>
        </w:rPr>
        <w:t xml:space="preserve">Quatre outils de lecture des résultats, pour quatre besoins différents — tous partagent la même source de vérité (rapport_metrics.json), jamais recalculée deux fois par des chemins différents.</w:t>
      </w:r>
    </w:p>
    <w:p>
      <w:pPr>
        <w:spacing w:after="300"/>
      </w:pPr>
    </w:p>
    <w:p>
      <w:r>
        <w:rPr>
          <w:i/>
          <w:iCs/>
          <w:color w:val="5A5A5A"/>
          <w:sz w:val="20"/>
          <w:szCs w:val="20"/>
        </w:rPr>
        <w:t xml:space="preserve">Fin du document de base. Toutes les décisions détaillées ici, avec leur raisonnement complet, restent tracées dans le journal de décisions du projet, qui reste la source de référence en cas de doute sur un choix ou un résultat.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5C4A"/>
      <w:sz w:val="32"/>
      <w:szCs w:val="32"/>
    </w:rPr>
  </w:style>
  <w:style w:type="paragraph" w:styleId="Heading2">
    <w:name w:val="Heading 2"/>
    <w:basedOn w:val="Normal"/>
    <w:next w:val="Normal"/>
    <w:qFormat/>
    <w:pPr>
      <w:spacing w:after="160" w:before="340"/>
      <w:outlineLvl w:val="1"/>
    </w:pPr>
    <w:rPr>
      <w:rFonts w:ascii="Calibri" w:cs="Calibri" w:eastAsia="Calibri" w:hAnsi="Calibri"/>
      <w:b/>
      <w:bCs/>
      <w:color w:val="2E2E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bd318399ed047e14fff6649dd670e491234c92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2026-09-07T15:17:41.157Z</dcterms:created>
  <dcterms:modified xsi:type="dcterms:W3CDTF">2026-09-07T15:17:41.173Z</dcterms:modified>
</cp:coreProperties>
</file>

<file path=docProps/custom.xml><?xml version="1.0" encoding="utf-8"?>
<Properties xmlns="http://schemas.openxmlformats.org/officeDocument/2006/custom-properties" xmlns:vt="http://schemas.openxmlformats.org/officeDocument/2006/docPropsVTypes"/>
</file>