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b/>
          <w:bCs/>
          <w:color w:val="1F5C4A"/>
          <w:sz w:val="24"/>
          <w:szCs w:val="24"/>
        </w:rPr>
        <w:t xml:space="preserve">PLASTIC ODYSSEY</w:t>
      </w:r>
    </w:p>
    <w:p>
      <w:pPr>
        <w:spacing w:after="300"/>
        <w:jc w:val="center"/>
      </w:pPr>
      <w:r>
        <w:rPr>
          <w:color w:val="555555"/>
          <w:sz w:val="22"/>
          <w:szCs w:val="22"/>
        </w:rPr>
        <w:t xml:space="preserve">PixelOdyssey</w:t>
      </w:r>
    </w:p>
    <w:p>
      <w:pPr>
        <w:spacing w:after="120"/>
        <w:jc w:val="center"/>
      </w:pPr>
      <w:r>
        <w:rPr>
          <w:b/>
          <w:bCs/>
          <w:sz w:val="40"/>
          <w:szCs w:val="40"/>
        </w:rPr>
        <w:t xml:space="preserve">Paramétrage du modèle</w:t>
      </w:r>
    </w:p>
    <w:p>
      <w:pPr>
        <w:spacing w:after="260"/>
        <w:jc w:val="center"/>
      </w:pPr>
      <w:r>
        <w:rPr>
          <w:i/>
          <w:iCs/>
          <w:color w:val="555555"/>
          <w:sz w:val="22"/>
          <w:szCs w:val="22"/>
        </w:rPr>
        <w:t xml:space="preserve">Organisation par brique : problèmes rencontrés, solutions retenues, pistes ouvertes</w:t>
      </w:r>
    </w:p>
    <w:p>
      <w:pPr>
        <w:pBdr>
          <w:bottom w:val="single" w:color="B8B8B8" w:sz="6" w:space="4"/>
        </w:pBdr>
        <w:spacing w:after="200"/>
      </w:pPr>
    </w:p>
    <w:p>
      <w:pPr>
        <w:spacing w:after="100"/>
      </w:pPr>
      <w:r>
        <w:rPr>
          <w:color w:val="555555"/>
          <w:sz w:val="19"/>
          <w:szCs w:val="19"/>
        </w:rPr>
        <w:t xml:space="preserve">Document de référence technique, organisé par thème (par « brique » de construction du modèle), pas par ordre chronologique. La chronologie complète et datée reste dans le journal de décisions du projet.</w:t>
      </w:r>
    </w:p>
    <w:p>
      <w:pPr>
        <w:spacing w:after="100"/>
      </w:pPr>
      <w:r>
        <w:rPr>
          <w:color w:val="555555"/>
          <w:sz w:val="19"/>
          <w:szCs w:val="19"/>
        </w:rPr>
        <w:t xml:space="preserve">Préparé avec Claude, mentor de projet IA  —  Auteur : Jame Vallette, Plastic Odyssey</w:t>
      </w:r>
    </w:p>
    <w:p>
      <w:pPr>
        <w:pStyle w:val="Heading1"/>
        <w:spacing w:after="160" w:before="400"/>
      </w:pPr>
      <w:r>
        <w:t xml:space="preserve">Avant-propos</w:t>
      </w:r>
    </w:p>
    <w:p>
      <w:pPr>
        <w:pStyle w:val="ListParagraph"/>
        <w:numPr>
          <w:ilvl w:val="0"/>
          <w:numId w:val="2"/>
        </w:numPr>
        <w:spacing w:after="70"/>
      </w:pPr>
      <w:r>
        <w:rPr>
          <w:b/>
          <w:bCs/>
        </w:rPr>
        <w:t xml:space="preserve">Objet</w:t>
      </w:r>
      <w:r>
        <w:t xml:space="preserve"> : ce document explique comment le modèle de détection/segmentation est construit — les briques qui le composent, comment elles s'articulent, et pour chacune : le problème qu'elle résout, la solution retenue (avec le script ou paramètre concerné), et ce qui reste à explorer.</w:t>
      </w:r>
    </w:p>
    <w:p>
      <w:pPr>
        <w:pStyle w:val="ListParagraph"/>
        <w:numPr>
          <w:ilvl w:val="0"/>
          <w:numId w:val="2"/>
        </w:numPr>
        <w:spacing w:after="70"/>
      </w:pPr>
      <w:r>
        <w:rPr>
          <w:b/>
          <w:bCs/>
        </w:rPr>
        <w:t xml:space="preserve">Ce qu'il n'est pas</w:t>
      </w:r>
      <w:r>
        <w:t xml:space="preserve"> : un historique. Les dates, essais infructueux et raisonnement au fil de l'eau restent dans le journal de décisions du projet (claude/journal_decisions_pipeline.md), qui reste la source de référence en cas de doute sur un choix.</w:t>
      </w:r>
    </w:p>
    <w:p>
      <w:pPr>
        <w:pStyle w:val="ListParagraph"/>
        <w:numPr>
          <w:ilvl w:val="0"/>
          <w:numId w:val="2"/>
        </w:numPr>
        <w:spacing w:after="70"/>
      </w:pPr>
      <w:r>
        <w:rPr>
          <w:b/>
          <w:bCs/>
        </w:rPr>
        <w:t xml:space="preserve">Convention</w:t>
      </w:r>
      <w:r>
        <w:t xml:space="preserve"> : chaque chiffre renvoie au run/script qui l'a produit ; un réglage encore ouvert (non tranché) est explicitement signalé « point ouvert », jamais confondu avec une conclusion acquise.</w:t>
      </w:r>
    </w:p>
    <w:p>
      <w:pPr>
        <w:pStyle w:val="Heading1"/>
        <w:spacing w:after="160" w:before="400"/>
      </w:pPr>
      <w:r>
        <w:t xml:space="preserve">Vue d'ensemble des briques</w:t>
      </w:r>
    </w:p>
    <w:p>
      <w:pPr>
        <w:spacing w:after="100"/>
      </w:pPr>
      <w:r>
        <w:t xml:space="preserve">Le paramétrage du modèle se décompose en 7 briques indépendantes, regroupées en 4 familles selon leur rôle dans la construction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600"/>
        <w:gridCol w:w="4300"/>
      </w:tblGrid>
      <w:tr>
        <w:trPr>
          <w:tblHeader/>
        </w:trPr>
        <w:tc>
          <w:tcPr>
            <w:tcW w:type="dxa" w:w="500"/>
            <w:shd w:fill="1F5C4A" w:color="auto" w:val="clear"/>
            <w:tcMar>
              <w:top w:type="dxa" w:w="60"/>
              <w:left w:type="dxa" w:w="100"/>
              <w:bottom w:type="dxa" w:w="60"/>
              <w:right w:type="dxa" w:w="100"/>
            </w:tcMar>
          </w:tcPr>
          <w:p>
            <w:pPr>
              <w:jc w:val="left"/>
            </w:pPr>
            <w:r>
              <w:rPr>
                <w:b/>
                <w:bCs/>
                <w:sz w:val="19"/>
                <w:szCs w:val="19"/>
              </w:rPr>
              <w:t xml:space="preserve">#</w:t>
            </w:r>
          </w:p>
        </w:tc>
        <w:tc>
          <w:tcPr>
            <w:tcW w:type="dxa" w:w="2600"/>
            <w:shd w:fill="1F5C4A" w:color="auto" w:val="clear"/>
            <w:tcMar>
              <w:top w:type="dxa" w:w="60"/>
              <w:left w:type="dxa" w:w="100"/>
              <w:bottom w:type="dxa" w:w="60"/>
              <w:right w:type="dxa" w:w="100"/>
            </w:tcMar>
          </w:tcPr>
          <w:p>
            <w:pPr>
              <w:jc w:val="left"/>
            </w:pPr>
            <w:r>
              <w:rPr>
                <w:b/>
                <w:bCs/>
                <w:sz w:val="19"/>
                <w:szCs w:val="19"/>
              </w:rPr>
              <w:t xml:space="preserve">Brique</w:t>
            </w:r>
          </w:p>
        </w:tc>
        <w:tc>
          <w:tcPr>
            <w:tcW w:type="dxa" w:w="1600"/>
            <w:shd w:fill="1F5C4A" w:color="auto" w:val="clear"/>
            <w:tcMar>
              <w:top w:type="dxa" w:w="60"/>
              <w:left w:type="dxa" w:w="100"/>
              <w:bottom w:type="dxa" w:w="60"/>
              <w:right w:type="dxa" w:w="100"/>
            </w:tcMar>
          </w:tcPr>
          <w:p>
            <w:pPr>
              <w:jc w:val="left"/>
            </w:pPr>
            <w:r>
              <w:rPr>
                <w:b/>
                <w:bCs/>
                <w:sz w:val="19"/>
                <w:szCs w:val="19"/>
              </w:rPr>
              <w:t xml:space="preserve">Famille</w:t>
            </w:r>
          </w:p>
        </w:tc>
        <w:tc>
          <w:tcPr>
            <w:tcW w:type="dxa" w:w="4300"/>
            <w:shd w:fill="1F5C4A" w:color="auto" w:val="clear"/>
            <w:tcMar>
              <w:top w:type="dxa" w:w="60"/>
              <w:left w:type="dxa" w:w="100"/>
              <w:bottom w:type="dxa" w:w="60"/>
              <w:right w:type="dxa" w:w="100"/>
            </w:tcMar>
          </w:tcPr>
          <w:p>
            <w:pPr>
              <w:jc w:val="left"/>
            </w:pPr>
            <w:r>
              <w:rPr>
                <w:b/>
                <w:bCs/>
                <w:sz w:val="19"/>
                <w:szCs w:val="19"/>
              </w:rPr>
              <w:t xml:space="preserve">Rôle en une phrase</w:t>
            </w:r>
          </w:p>
        </w:tc>
      </w:tr>
      <w:tr>
        <w:tc>
          <w:tcPr>
            <w:tcW w:type="dxa" w:w="500"/>
            <w:tcMar>
              <w:top w:type="dxa" w:w="60"/>
              <w:left w:type="dxa" w:w="100"/>
              <w:bottom w:type="dxa" w:w="60"/>
              <w:right w:type="dxa" w:w="100"/>
            </w:tcMar>
          </w:tcPr>
          <w:p>
            <w:pPr>
              <w:jc w:val="left"/>
            </w:pPr>
            <w:r>
              <w:rPr>
                <w:b w:val="false"/>
                <w:bCs w:val="false"/>
                <w:sz w:val="19"/>
                <w:szCs w:val="19"/>
              </w:rPr>
              <w:t xml:space="preserve">1</w:t>
            </w:r>
          </w:p>
        </w:tc>
        <w:tc>
          <w:tcPr>
            <w:tcW w:type="dxa" w:w="2600"/>
            <w:tcMar>
              <w:top w:type="dxa" w:w="60"/>
              <w:left w:type="dxa" w:w="100"/>
              <w:bottom w:type="dxa" w:w="60"/>
              <w:right w:type="dxa" w:w="100"/>
            </w:tcMar>
          </w:tcPr>
          <w:p>
            <w:pPr>
              <w:jc w:val="left"/>
            </w:pPr>
            <w:r>
              <w:rPr>
                <w:b w:val="false"/>
                <w:bCs w:val="false"/>
                <w:sz w:val="19"/>
                <w:szCs w:val="19"/>
              </w:rPr>
              <w:t xml:space="preserve">Taxonomie &amp; granularité</w:t>
            </w:r>
          </w:p>
        </w:tc>
        <w:tc>
          <w:tcPr>
            <w:tcW w:type="dxa" w:w="1600"/>
            <w:tcMar>
              <w:top w:type="dxa" w:w="60"/>
              <w:left w:type="dxa" w:w="100"/>
              <w:bottom w:type="dxa" w:w="60"/>
              <w:right w:type="dxa" w:w="100"/>
            </w:tcMar>
          </w:tcPr>
          <w:p>
            <w:pPr>
              <w:jc w:val="left"/>
            </w:pPr>
            <w:r>
              <w:rPr>
                <w:b w:val="false"/>
                <w:bCs w:val="false"/>
                <w:sz w:val="19"/>
                <w:szCs w:val="19"/>
              </w:rPr>
              <w:t xml:space="preserve">Données</w:t>
            </w:r>
          </w:p>
        </w:tc>
        <w:tc>
          <w:tcPr>
            <w:tcW w:type="dxa" w:w="4300"/>
            <w:tcMar>
              <w:top w:type="dxa" w:w="60"/>
              <w:left w:type="dxa" w:w="100"/>
              <w:bottom w:type="dxa" w:w="60"/>
              <w:right w:type="dxa" w:w="100"/>
            </w:tcMar>
          </w:tcPr>
          <w:p>
            <w:pPr>
              <w:jc w:val="left"/>
            </w:pPr>
            <w:r>
              <w:rPr>
                <w:b w:val="false"/>
                <w:bCs w:val="false"/>
                <w:sz w:val="19"/>
                <w:szCs w:val="19"/>
              </w:rPr>
              <w:t xml:space="preserve">Combien de classes le modèle apprend (mono vs multi-classe)</w:t>
            </w:r>
          </w:p>
        </w:tc>
      </w:tr>
      <w:tr>
        <w:tc>
          <w:tcPr>
            <w:tcW w:type="dxa" w:w="500"/>
            <w:shd w:fill="EAF2EF" w:color="auto" w:val="clear"/>
            <w:tcMar>
              <w:top w:type="dxa" w:w="60"/>
              <w:left w:type="dxa" w:w="100"/>
              <w:bottom w:type="dxa" w:w="60"/>
              <w:right w:type="dxa" w:w="100"/>
            </w:tcMar>
          </w:tcPr>
          <w:p>
            <w:pPr>
              <w:jc w:val="left"/>
            </w:pPr>
            <w:r>
              <w:rPr>
                <w:b w:val="false"/>
                <w:bCs w:val="false"/>
                <w:sz w:val="19"/>
                <w:szCs w:val="19"/>
              </w:rPr>
              <w:t xml:space="preserve">2</w:t>
            </w:r>
          </w:p>
        </w:tc>
        <w:tc>
          <w:tcPr>
            <w:tcW w:type="dxa" w:w="2600"/>
            <w:shd w:fill="EAF2EF" w:color="auto" w:val="clear"/>
            <w:tcMar>
              <w:top w:type="dxa" w:w="60"/>
              <w:left w:type="dxa" w:w="100"/>
              <w:bottom w:type="dxa" w:w="60"/>
              <w:right w:type="dxa" w:w="100"/>
            </w:tcMar>
          </w:tcPr>
          <w:p>
            <w:pPr>
              <w:jc w:val="left"/>
            </w:pPr>
            <w:r>
              <w:rPr>
                <w:b w:val="false"/>
                <w:bCs w:val="false"/>
                <w:sz w:val="19"/>
                <w:szCs w:val="19"/>
              </w:rPr>
              <w:t xml:space="preserve">Qualité des annotations</w:t>
            </w:r>
          </w:p>
        </w:tc>
        <w:tc>
          <w:tcPr>
            <w:tcW w:type="dxa" w:w="1600"/>
            <w:shd w:fill="EAF2EF" w:color="auto" w:val="clear"/>
            <w:tcMar>
              <w:top w:type="dxa" w:w="60"/>
              <w:left w:type="dxa" w:w="100"/>
              <w:bottom w:type="dxa" w:w="60"/>
              <w:right w:type="dxa" w:w="100"/>
            </w:tcMar>
          </w:tcPr>
          <w:p>
            <w:pPr>
              <w:jc w:val="left"/>
            </w:pPr>
            <w:r>
              <w:rPr>
                <w:b w:val="false"/>
                <w:bCs w:val="false"/>
                <w:sz w:val="19"/>
                <w:szCs w:val="19"/>
              </w:rPr>
              <w:t xml:space="preserve">Données</w:t>
            </w:r>
          </w:p>
        </w:tc>
        <w:tc>
          <w:tcPr>
            <w:tcW w:type="dxa" w:w="4300"/>
            <w:shd w:fill="EAF2EF" w:color="auto" w:val="clear"/>
            <w:tcMar>
              <w:top w:type="dxa" w:w="60"/>
              <w:left w:type="dxa" w:w="100"/>
              <w:bottom w:type="dxa" w:w="60"/>
              <w:right w:type="dxa" w:w="100"/>
            </w:tcMar>
          </w:tcPr>
          <w:p>
            <w:pPr>
              <w:jc w:val="left"/>
            </w:pPr>
            <w:r>
              <w:rPr>
                <w:b w:val="false"/>
                <w:bCs w:val="false"/>
                <w:sz w:val="19"/>
                <w:szCs w:val="19"/>
              </w:rPr>
              <w:t xml:space="preserve">La vérité terrain est-elle complète et fiable</w:t>
            </w:r>
          </w:p>
        </w:tc>
      </w:tr>
      <w:tr>
        <w:tc>
          <w:tcPr>
            <w:tcW w:type="dxa" w:w="500"/>
            <w:tcMar>
              <w:top w:type="dxa" w:w="60"/>
              <w:left w:type="dxa" w:w="100"/>
              <w:bottom w:type="dxa" w:w="60"/>
              <w:right w:type="dxa" w:w="100"/>
            </w:tcMar>
          </w:tcPr>
          <w:p>
            <w:pPr>
              <w:jc w:val="left"/>
            </w:pPr>
            <w:r>
              <w:rPr>
                <w:b w:val="false"/>
                <w:bCs w:val="false"/>
                <w:sz w:val="19"/>
                <w:szCs w:val="19"/>
              </w:rPr>
              <w:t xml:space="preserve">3</w:t>
            </w:r>
          </w:p>
        </w:tc>
        <w:tc>
          <w:tcPr>
            <w:tcW w:type="dxa" w:w="2600"/>
            <w:tcMar>
              <w:top w:type="dxa" w:w="60"/>
              <w:left w:type="dxa" w:w="100"/>
              <w:bottom w:type="dxa" w:w="60"/>
              <w:right w:type="dxa" w:w="100"/>
            </w:tcMar>
          </w:tcPr>
          <w:p>
            <w:pPr>
              <w:jc w:val="left"/>
            </w:pPr>
            <w:r>
              <w:rPr>
                <w:b w:val="false"/>
                <w:bCs w:val="false"/>
                <w:sz w:val="19"/>
                <w:szCs w:val="19"/>
              </w:rPr>
              <w:t xml:space="preserve">Architecture (taille)</w:t>
            </w:r>
          </w:p>
        </w:tc>
        <w:tc>
          <w:tcPr>
            <w:tcW w:type="dxa" w:w="1600"/>
            <w:tcMar>
              <w:top w:type="dxa" w:w="60"/>
              <w:left w:type="dxa" w:w="100"/>
              <w:bottom w:type="dxa" w:w="60"/>
              <w:right w:type="dxa" w:w="100"/>
            </w:tcMar>
          </w:tcPr>
          <w:p>
            <w:pPr>
              <w:jc w:val="left"/>
            </w:pPr>
            <w:r>
              <w:rPr>
                <w:b w:val="false"/>
                <w:bCs w:val="false"/>
                <w:sz w:val="19"/>
                <w:szCs w:val="19"/>
              </w:rPr>
              <w:t xml:space="preserve">Entraînement</w:t>
            </w:r>
          </w:p>
        </w:tc>
        <w:tc>
          <w:tcPr>
            <w:tcW w:type="dxa" w:w="4300"/>
            <w:tcMar>
              <w:top w:type="dxa" w:w="60"/>
              <w:left w:type="dxa" w:w="100"/>
              <w:bottom w:type="dxa" w:w="60"/>
              <w:right w:type="dxa" w:w="100"/>
            </w:tcMar>
          </w:tcPr>
          <w:p>
            <w:pPr>
              <w:jc w:val="left"/>
            </w:pPr>
            <w:r>
              <w:rPr>
                <w:b w:val="false"/>
                <w:bCs w:val="false"/>
                <w:sz w:val="19"/>
                <w:szCs w:val="19"/>
              </w:rPr>
              <w:t xml:space="preserve">Quelle capacité de modèle (nano/small/medium)</w:t>
            </w:r>
          </w:p>
        </w:tc>
      </w:tr>
      <w:tr>
        <w:tc>
          <w:tcPr>
            <w:tcW w:type="dxa" w:w="500"/>
            <w:shd w:fill="EAF2EF" w:color="auto" w:val="clear"/>
            <w:tcMar>
              <w:top w:type="dxa" w:w="60"/>
              <w:left w:type="dxa" w:w="100"/>
              <w:bottom w:type="dxa" w:w="60"/>
              <w:right w:type="dxa" w:w="100"/>
            </w:tcMar>
          </w:tcPr>
          <w:p>
            <w:pPr>
              <w:jc w:val="left"/>
            </w:pPr>
            <w:r>
              <w:rPr>
                <w:b w:val="false"/>
                <w:bCs w:val="false"/>
                <w:sz w:val="19"/>
                <w:szCs w:val="19"/>
              </w:rPr>
              <w:t xml:space="preserve">4</w:t>
            </w:r>
          </w:p>
        </w:tc>
        <w:tc>
          <w:tcPr>
            <w:tcW w:type="dxa" w:w="2600"/>
            <w:shd w:fill="EAF2EF" w:color="auto" w:val="clear"/>
            <w:tcMar>
              <w:top w:type="dxa" w:w="60"/>
              <w:left w:type="dxa" w:w="100"/>
              <w:bottom w:type="dxa" w:w="60"/>
              <w:right w:type="dxa" w:w="100"/>
            </w:tcMar>
          </w:tcPr>
          <w:p>
            <w:pPr>
              <w:jc w:val="left"/>
            </w:pPr>
            <w:r>
              <w:rPr>
                <w:b w:val="false"/>
                <w:bCs w:val="false"/>
                <w:sz w:val="19"/>
                <w:szCs w:val="19"/>
              </w:rPr>
              <w:t xml:space="preserve">Augmentation géométrique</w:t>
            </w:r>
          </w:p>
        </w:tc>
        <w:tc>
          <w:tcPr>
            <w:tcW w:type="dxa" w:w="1600"/>
            <w:shd w:fill="EAF2EF" w:color="auto" w:val="clear"/>
            <w:tcMar>
              <w:top w:type="dxa" w:w="60"/>
              <w:left w:type="dxa" w:w="100"/>
              <w:bottom w:type="dxa" w:w="60"/>
              <w:right w:type="dxa" w:w="100"/>
            </w:tcMar>
          </w:tcPr>
          <w:p>
            <w:pPr>
              <w:jc w:val="left"/>
            </w:pPr>
            <w:r>
              <w:rPr>
                <w:b w:val="false"/>
                <w:bCs w:val="false"/>
                <w:sz w:val="19"/>
                <w:szCs w:val="19"/>
              </w:rPr>
              <w:t xml:space="preserve">Entraînement</w:t>
            </w:r>
          </w:p>
        </w:tc>
        <w:tc>
          <w:tcPr>
            <w:tcW w:type="dxa" w:w="4300"/>
            <w:shd w:fill="EAF2EF" w:color="auto" w:val="clear"/>
            <w:tcMar>
              <w:top w:type="dxa" w:w="60"/>
              <w:left w:type="dxa" w:w="100"/>
              <w:bottom w:type="dxa" w:w="60"/>
              <w:right w:type="dxa" w:w="100"/>
            </w:tcMar>
          </w:tcPr>
          <w:p>
            <w:pPr>
              <w:jc w:val="left"/>
            </w:pPr>
            <w:r>
              <w:rPr>
                <w:b w:val="false"/>
                <w:bCs w:val="false"/>
                <w:sz w:val="19"/>
                <w:szCs w:val="19"/>
              </w:rPr>
              <w:t xml:space="preserve">Corriger le fait que les images sont en vue nadir</w:t>
            </w:r>
          </w:p>
        </w:tc>
      </w:tr>
      <w:tr>
        <w:tc>
          <w:tcPr>
            <w:tcW w:type="dxa" w:w="500"/>
            <w:tcMar>
              <w:top w:type="dxa" w:w="60"/>
              <w:left w:type="dxa" w:w="100"/>
              <w:bottom w:type="dxa" w:w="60"/>
              <w:right w:type="dxa" w:w="100"/>
            </w:tcMar>
          </w:tcPr>
          <w:p>
            <w:pPr>
              <w:jc w:val="left"/>
            </w:pPr>
            <w:r>
              <w:rPr>
                <w:b w:val="false"/>
                <w:bCs w:val="false"/>
                <w:sz w:val="19"/>
                <w:szCs w:val="19"/>
              </w:rPr>
              <w:t xml:space="preserve">5</w:t>
            </w:r>
          </w:p>
        </w:tc>
        <w:tc>
          <w:tcPr>
            <w:tcW w:type="dxa" w:w="2600"/>
            <w:tcMar>
              <w:top w:type="dxa" w:w="60"/>
              <w:left w:type="dxa" w:w="100"/>
              <w:bottom w:type="dxa" w:w="60"/>
              <w:right w:type="dxa" w:w="100"/>
            </w:tcMar>
          </w:tcPr>
          <w:p>
            <w:pPr>
              <w:jc w:val="left"/>
            </w:pPr>
            <w:r>
              <w:rPr>
                <w:b w:val="false"/>
                <w:bCs w:val="false"/>
                <w:sz w:val="19"/>
                <w:szCs w:val="19"/>
              </w:rPr>
              <w:t xml:space="preserve">Rééquilibrage des classes</w:t>
            </w:r>
          </w:p>
        </w:tc>
        <w:tc>
          <w:tcPr>
            <w:tcW w:type="dxa" w:w="1600"/>
            <w:tcMar>
              <w:top w:type="dxa" w:w="60"/>
              <w:left w:type="dxa" w:w="100"/>
              <w:bottom w:type="dxa" w:w="60"/>
              <w:right w:type="dxa" w:w="100"/>
            </w:tcMar>
          </w:tcPr>
          <w:p>
            <w:pPr>
              <w:jc w:val="left"/>
            </w:pPr>
            <w:r>
              <w:rPr>
                <w:b w:val="false"/>
                <w:bCs w:val="false"/>
                <w:sz w:val="19"/>
                <w:szCs w:val="19"/>
              </w:rPr>
              <w:t xml:space="preserve">Entraînement</w:t>
            </w:r>
          </w:p>
        </w:tc>
        <w:tc>
          <w:tcPr>
            <w:tcW w:type="dxa" w:w="4300"/>
            <w:tcMar>
              <w:top w:type="dxa" w:w="60"/>
              <w:left w:type="dxa" w:w="100"/>
              <w:bottom w:type="dxa" w:w="60"/>
              <w:right w:type="dxa" w:w="100"/>
            </w:tcMar>
          </w:tcPr>
          <w:p>
            <w:pPr>
              <w:jc w:val="left"/>
            </w:pPr>
            <w:r>
              <w:rPr>
                <w:b w:val="false"/>
                <w:bCs w:val="false"/>
                <w:sz w:val="19"/>
                <w:szCs w:val="19"/>
              </w:rPr>
              <w:t xml:space="preserve">Compenser la sur-représentation de Debris_Divers</w:t>
            </w:r>
          </w:p>
        </w:tc>
      </w:tr>
      <w:tr>
        <w:tc>
          <w:tcPr>
            <w:tcW w:type="dxa" w:w="500"/>
            <w:shd w:fill="EAF2EF" w:color="auto" w:val="clear"/>
            <w:tcMar>
              <w:top w:type="dxa" w:w="60"/>
              <w:left w:type="dxa" w:w="100"/>
              <w:bottom w:type="dxa" w:w="60"/>
              <w:right w:type="dxa" w:w="100"/>
            </w:tcMar>
          </w:tcPr>
          <w:p>
            <w:pPr>
              <w:jc w:val="left"/>
            </w:pPr>
            <w:r>
              <w:rPr>
                <w:b w:val="false"/>
                <w:bCs w:val="false"/>
                <w:sz w:val="19"/>
                <w:szCs w:val="19"/>
              </w:rPr>
              <w:t xml:space="preserve">6</w:t>
            </w:r>
          </w:p>
        </w:tc>
        <w:tc>
          <w:tcPr>
            <w:tcW w:type="dxa" w:w="2600"/>
            <w:shd w:fill="EAF2EF" w:color="auto" w:val="clear"/>
            <w:tcMar>
              <w:top w:type="dxa" w:w="60"/>
              <w:left w:type="dxa" w:w="100"/>
              <w:bottom w:type="dxa" w:w="60"/>
              <w:right w:type="dxa" w:w="100"/>
            </w:tcMar>
          </w:tcPr>
          <w:p>
            <w:pPr>
              <w:jc w:val="left"/>
            </w:pPr>
            <w:r>
              <w:rPr>
                <w:b w:val="false"/>
                <w:bCs w:val="false"/>
                <w:sz w:val="19"/>
                <w:szCs w:val="19"/>
              </w:rPr>
              <w:t xml:space="preserve">Méthodologie d'évaluation</w:t>
            </w:r>
          </w:p>
        </w:tc>
        <w:tc>
          <w:tcPr>
            <w:tcW w:type="dxa" w:w="1600"/>
            <w:shd w:fill="EAF2EF" w:color="auto" w:val="clear"/>
            <w:tcMar>
              <w:top w:type="dxa" w:w="60"/>
              <w:left w:type="dxa" w:w="100"/>
              <w:bottom w:type="dxa" w:w="60"/>
              <w:right w:type="dxa" w:w="100"/>
            </w:tcMar>
          </w:tcPr>
          <w:p>
            <w:pPr>
              <w:jc w:val="left"/>
            </w:pPr>
            <w:r>
              <w:rPr>
                <w:b w:val="false"/>
                <w:bCs w:val="false"/>
                <w:sz w:val="19"/>
                <w:szCs w:val="19"/>
              </w:rPr>
              <w:t xml:space="preserve">Évaluation</w:t>
            </w:r>
          </w:p>
        </w:tc>
        <w:tc>
          <w:tcPr>
            <w:tcW w:type="dxa" w:w="4300"/>
            <w:shd w:fill="EAF2EF" w:color="auto" w:val="clear"/>
            <w:tcMar>
              <w:top w:type="dxa" w:w="60"/>
              <w:left w:type="dxa" w:w="100"/>
              <w:bottom w:type="dxa" w:w="60"/>
              <w:right w:type="dxa" w:w="100"/>
            </w:tcMar>
          </w:tcPr>
          <w:p>
            <w:pPr>
              <w:jc w:val="left"/>
            </w:pPr>
            <w:r>
              <w:rPr>
                <w:b w:val="false"/>
                <w:bCs w:val="false"/>
                <w:sz w:val="19"/>
                <w:szCs w:val="19"/>
              </w:rPr>
              <w:t xml:space="preserve">Quelle métrique lire, quels pièges de lecture éviter</w:t>
            </w:r>
          </w:p>
        </w:tc>
      </w:tr>
      <w:tr>
        <w:tc>
          <w:tcPr>
            <w:tcW w:type="dxa" w:w="500"/>
            <w:tcMar>
              <w:top w:type="dxa" w:w="60"/>
              <w:left w:type="dxa" w:w="100"/>
              <w:bottom w:type="dxa" w:w="60"/>
              <w:right w:type="dxa" w:w="100"/>
            </w:tcMar>
          </w:tcPr>
          <w:p>
            <w:pPr>
              <w:jc w:val="left"/>
            </w:pPr>
            <w:r>
              <w:rPr>
                <w:b w:val="false"/>
                <w:bCs w:val="false"/>
                <w:sz w:val="19"/>
                <w:szCs w:val="19"/>
              </w:rPr>
              <w:t xml:space="preserve">7</w:t>
            </w:r>
          </w:p>
        </w:tc>
        <w:tc>
          <w:tcPr>
            <w:tcW w:type="dxa" w:w="2600"/>
            <w:tcMar>
              <w:top w:type="dxa" w:w="60"/>
              <w:left w:type="dxa" w:w="100"/>
              <w:bottom w:type="dxa" w:w="60"/>
              <w:right w:type="dxa" w:w="100"/>
            </w:tcMar>
          </w:tcPr>
          <w:p>
            <w:pPr>
              <w:jc w:val="left"/>
            </w:pPr>
            <w:r>
              <w:rPr>
                <w:b w:val="false"/>
                <w:bCs w:val="false"/>
                <w:sz w:val="19"/>
                <w:szCs w:val="19"/>
              </w:rPr>
              <w:t xml:space="preserve">Registre des modèles retenus</w:t>
            </w:r>
          </w:p>
        </w:tc>
        <w:tc>
          <w:tcPr>
            <w:tcW w:type="dxa" w:w="1600"/>
            <w:tcMar>
              <w:top w:type="dxa" w:w="60"/>
              <w:left w:type="dxa" w:w="100"/>
              <w:bottom w:type="dxa" w:w="60"/>
              <w:right w:type="dxa" w:w="100"/>
            </w:tcMar>
          </w:tcPr>
          <w:p>
            <w:pPr>
              <w:jc w:val="left"/>
            </w:pPr>
            <w:r>
              <w:rPr>
                <w:b w:val="false"/>
                <w:bCs w:val="false"/>
                <w:sz w:val="19"/>
                <w:szCs w:val="19"/>
              </w:rPr>
              <w:t xml:space="preserve">Production</w:t>
            </w:r>
          </w:p>
        </w:tc>
        <w:tc>
          <w:tcPr>
            <w:tcW w:type="dxa" w:w="4300"/>
            <w:tcMar>
              <w:top w:type="dxa" w:w="60"/>
              <w:left w:type="dxa" w:w="100"/>
              <w:bottom w:type="dxa" w:w="60"/>
              <w:right w:type="dxa" w:w="100"/>
            </w:tcMar>
          </w:tcPr>
          <w:p>
            <w:pPr>
              <w:jc w:val="left"/>
            </w:pPr>
            <w:r>
              <w:rPr>
                <w:b w:val="false"/>
                <w:bCs w:val="false"/>
                <w:sz w:val="19"/>
                <w:szCs w:val="19"/>
              </w:rPr>
              <w:t xml:space="preserve">Quel modèle sert réellement en production</w:t>
            </w:r>
          </w:p>
        </w:tc>
      </w:tr>
    </w:tbl>
    <w:p>
      <w:pPr>
        <w:spacing w:after="160" w:before="60"/>
      </w:pPr>
      <w:r>
        <w:rPr>
          <w:i/>
          <w:iCs/>
          <w:color w:val="555555"/>
          <w:sz w:val="17"/>
          <w:szCs w:val="17"/>
        </w:rPr>
        <w:t xml:space="preserve">Ordre indicatif de dépendance : les briques « Données » conditionnent celles d'« Entraînement », elles-mêmes jugées via la brique « Évaluation », avant d'aboutir à la brique « Production ».</w:t>
      </w:r>
    </w:p>
    <w:p>
      <w:pPr>
        <w:pStyle w:val="Heading1"/>
        <w:spacing w:after="160" w:before="400"/>
      </w:pPr>
      <w:r>
        <w:t xml:space="preserve">1. Taxonomie &amp; granularité (mono-classe vs multi-classe)</w:t>
      </w:r>
    </w:p>
    <w:p>
      <w:pPr>
        <w:pStyle w:val="Heading2"/>
        <w:spacing w:after="100" w:before="260"/>
      </w:pPr>
      <w:r>
        <w:t xml:space="preserve">Problématique</w:t>
      </w:r>
    </w:p>
    <w:p>
      <w:pPr>
        <w:pStyle w:val="ListParagraph"/>
        <w:numPr>
          <w:ilvl w:val="0"/>
          <w:numId w:val="2"/>
        </w:numPr>
        <w:spacing w:after="70"/>
      </w:pPr>
      <w:r>
        <w:t xml:space="preserve">Deux référentiels de classes coexistent : 7 classes groupées par FORME (config/data_config.yaml) vs 1 seule super-classe fourre-tout « Dechet_Plastique » (config/data_config_mono_class.yaml).</w:t>
      </w:r>
    </w:p>
    <w:p>
      <w:pPr>
        <w:pStyle w:val="ListParagraph"/>
        <w:numPr>
          <w:ilvl w:val="0"/>
          <w:numId w:val="2"/>
        </w:numPr>
        <w:spacing w:after="70"/>
      </w:pPr>
      <w:r>
        <w:t xml:space="preserve">Le multi-classe est structurellement plus dur (distinguer 7 formes) et subit un déséquilibre extrême entre classes (brique 5) ; le mono-classe n'a pas ce problème.</w:t>
      </w:r>
    </w:p>
    <w:p>
      <w:pPr>
        <w:pStyle w:val="Heading2"/>
        <w:spacing w:after="100" w:before="260"/>
      </w:pPr>
      <w:r>
        <w:t xml:space="preserve">Solution retenue</w:t>
      </w:r>
    </w:p>
    <w:p>
      <w:pPr>
        <w:pStyle w:val="ListParagraph"/>
        <w:numPr>
          <w:ilvl w:val="0"/>
          <w:numId w:val="2"/>
        </w:numPr>
        <w:spacing w:after="70"/>
      </w:pPr>
      <w:r>
        <w:t xml:space="preserve">Mono-classe : F1 test 0,532 (yolo11s-seg, recette réglée) — nettement supérieur au meilleur multi-classe disponible (F1 test 0,390, yolo11n-seg, run ref_split_corrige).</w:t>
      </w:r>
    </w:p>
    <w:p>
      <w:pPr>
        <w:pStyle w:val="ListParagraph"/>
        <w:numPr>
          <w:ilvl w:val="0"/>
          <w:numId w:val="2"/>
        </w:numPr>
        <w:spacing w:after="70"/>
      </w:pPr>
      <w:r>
        <w:t xml:space="preserve">Les deux modèles restent en production en parallèle (brique 7, config/models_registry.yaml) : le choix est un choix D'USAGE, pas un verdict de qualité — le multi-classe donne une information plus riche (QUOI, pas seulement OÙ) au prix d'un apprentissage plus difficile.</w:t>
      </w:r>
    </w:p>
    <w:p>
      <w:pPr>
        <w:pStyle w:val="Heading2"/>
        <w:spacing w:after="100" w:before="260"/>
      </w:pPr>
      <w:r>
        <w:t xml:space="preserve">Points ouverts</w:t>
      </w:r>
    </w:p>
    <w:p>
      <w:pPr>
        <w:pStyle w:val="ListParagraph"/>
        <w:numPr>
          <w:ilvl w:val="0"/>
          <w:numId w:val="2"/>
        </w:numPr>
        <w:spacing w:after="70"/>
      </w:pPr>
      <w:r>
        <w:t xml:space="preserve">Choix mono vs multi-classe définitif pour un usage de production unique : non tranché.</w:t>
      </w:r>
    </w:p>
    <w:p>
      <w:pPr>
        <w:pStyle w:val="Heading1"/>
        <w:spacing w:after="160" w:before="400"/>
      </w:pPr>
      <w:r>
        <w:t xml:space="preserve">2. Qualité des annotations</w:t>
      </w:r>
    </w:p>
    <w:p>
      <w:pPr>
        <w:pStyle w:val="Heading2"/>
        <w:spacing w:after="100" w:before="260"/>
      </w:pPr>
      <w:r>
        <w:t xml:space="preserve">Problématique</w:t>
      </w:r>
    </w:p>
    <w:p>
      <w:pPr>
        <w:pStyle w:val="ListParagraph"/>
        <w:numPr>
          <w:ilvl w:val="0"/>
          <w:numId w:val="2"/>
        </w:numPr>
        <w:spacing w:after="70"/>
      </w:pPr>
      <w:r>
        <w:t xml:space="preserve">Une partie des « faux positifs » mesurés lors des essais de rééquilibrage (brique 5) pourrait être des déchets réels non annotés — si la vérité terrain est incomplète, toute précision mesurée est sous-estimée d'une quantité inconnue, et affiner l'augmentation contre cette cible revient à risquer d'optimiser du bruit.</w:t>
      </w:r>
    </w:p>
    <w:p>
      <w:pPr>
        <w:pStyle w:val="ListParagraph"/>
        <w:numPr>
          <w:ilvl w:val="0"/>
          <w:numId w:val="2"/>
        </w:numPr>
        <w:spacing w:after="70"/>
      </w:pPr>
      <w:r>
        <w:t xml:space="preserve">Un déficit de précision marqué observé sur le sous-ensemble Santa Luzia (brique 5) pourrait être en partie ce même artefact plutôt qu'une vraie dégradation du modèle — non vérifié à ce jour.</w:t>
      </w:r>
    </w:p>
    <w:p>
      <w:pPr>
        <w:pStyle w:val="Heading2"/>
        <w:spacing w:after="100" w:before="260"/>
      </w:pPr>
      <w:r>
        <w:t xml:space="preserve">Solution retenue</w:t>
      </w:r>
    </w:p>
    <w:p>
      <w:pPr>
        <w:pStyle w:val="ListParagraph"/>
        <w:numPr>
          <w:ilvl w:val="0"/>
          <w:numId w:val="2"/>
        </w:numPr>
        <w:spacing w:after="70"/>
      </w:pPr>
      <w:r>
        <w:t xml:space="preserve">Priorité établie : corriger les annotations manquantes/imprécises AVANT de pousser plus loin le rééquilibrage/l'augmentation. L'ordre inverse (équilibrer d'abord) risquerait d'invalider une partie des runs déjà faits si des instances oubliées réapparaissent ensuite.</w:t>
      </w:r>
    </w:p>
    <w:p>
      <w:pPr>
        <w:pStyle w:val="ListParagraph"/>
        <w:numPr>
          <w:ilvl w:val="0"/>
          <w:numId w:val="2"/>
        </w:numPr>
        <w:spacing w:after="70"/>
      </w:pPr>
      <w:r>
        <w:t xml:space="preserve">Outil dédié : </w:t>
      </w:r>
      <w:r>
        <w:rPr>
          <w:rFonts w:ascii="Consolas" w:cs="Consolas" w:eastAsia="Consolas" w:hAnsi="Consolas"/>
          <w:sz w:val="19"/>
          <w:szCs w:val="19"/>
        </w:rPr>
        <w:t xml:space="preserve">src/review/label_review.py</w:t>
      </w:r>
      <w:r>
        <w:t xml:space="preserve"> (distinct de assisted_annotate.py) — trie les prédictions confiantes sans vérité terrain correspondante (panier A, candidat oublié à l'annotation) et les appariements à IoU faible (panier C, masque à retoucher). Diagnostic seul, n'écrit rien.</w:t>
      </w:r>
    </w:p>
    <w:p>
      <w:pPr>
        <w:pStyle w:val="ListParagraph"/>
        <w:numPr>
          <w:ilvl w:val="0"/>
          <w:numId w:val="2"/>
        </w:numPr>
        <w:spacing w:after="70"/>
      </w:pPr>
      <w:r>
        <w:t xml:space="preserve">Règle asymétrique train/val vs test : sur train/val, une correction vérifiée dans CVAT est acceptée librement (le test reste figé par parent_id, frozen_test_parents.json, donc aucun risque architectural). Sur test, la barre est plus stricte — n'accepter qu'une correction sans ambiguïté sur l'image brute (jamais « ça correspond à ce que le modèle a vu »), en une passe unique, test re-figé ensuite — pour ne pas introduire de biais de confirmation (dérive à la Goodhart) en utilisant les prédictions du modèle pour corriger la vérité terrain qui sert à l'évaluer.</w:t>
      </w:r>
    </w:p>
    <w:p>
      <w:pPr>
        <w:pStyle w:val="Heading2"/>
        <w:spacing w:after="100" w:before="260"/>
      </w:pPr>
      <w:r>
        <w:t xml:space="preserve">Points ouverts</w:t>
      </w:r>
    </w:p>
    <w:p>
      <w:pPr>
        <w:pStyle w:val="ListParagraph"/>
        <w:numPr>
          <w:ilvl w:val="0"/>
          <w:numId w:val="2"/>
        </w:numPr>
        <w:spacing w:after="70"/>
      </w:pPr>
      <w:r>
        <w:t xml:space="preserve">Ampleur réelle non quantifiée — étape suivante : </w:t>
      </w:r>
      <w:r>
        <w:rPr>
          <w:rFonts w:ascii="Consolas" w:cs="Consolas" w:eastAsia="Consolas" w:hAnsi="Consolas"/>
          <w:sz w:val="19"/>
          <w:szCs w:val="19"/>
        </w:rPr>
        <w:t xml:space="preserve">python -m src.review.label_review --scope val_test</w:t>
      </w:r>
      <w:r>
        <w:t xml:space="preserve"> pour mesurer le volume des paniers A/C avant de décider d'une relecture CVAT complète.</w:t>
      </w:r>
    </w:p>
    <w:p>
      <w:pPr>
        <w:pStyle w:val="ListParagraph"/>
        <w:numPr>
          <w:ilvl w:val="0"/>
          <w:numId w:val="2"/>
        </w:numPr>
        <w:spacing w:after="70"/>
      </w:pPr>
      <w:r>
        <w:t xml:space="preserve">Une fois la correction appliquée, un nouveau run de référence propre devra être établi avant de reprendre les essais d'équilibrage/augmentation.</w:t>
      </w:r>
    </w:p>
    <w:p>
      <w:pPr>
        <w:pStyle w:val="Heading1"/>
        <w:spacing w:after="160" w:before="400"/>
      </w:pPr>
      <w:r>
        <w:t xml:space="preserve">3. Architecture (taille de modèle)</w:t>
      </w:r>
    </w:p>
    <w:p>
      <w:pPr>
        <w:pStyle w:val="Heading2"/>
        <w:spacing w:after="100" w:before="260"/>
      </w:pPr>
      <w:r>
        <w:t xml:space="preserve">Problématique</w:t>
      </w:r>
    </w:p>
    <w:p>
      <w:pPr>
        <w:pStyle w:val="ListParagraph"/>
        <w:numPr>
          <w:ilvl w:val="0"/>
          <w:numId w:val="2"/>
        </w:numPr>
        <w:spacing w:after="70"/>
      </w:pPr>
      <w:r>
        <w:t xml:space="preserve">Réflexe naturel face à un modèle peu performant : monter en taille (nano → small → medium). Ce réflexe n'aide QUE si la faiblesse est un problème de PRÉCISION du modèle (contours imprécis, généralisation qui plafonne) — jamais un problème de VOLUME/DIVERSITÉ de données (classe rare sous-représentée), qu'un modèle plus grand ne fait qu'aggraver côté surapprentissage sur un dataset encore modeste.</w:t>
      </w:r>
    </w:p>
    <w:p>
      <w:pPr>
        <w:pStyle w:val="Heading2"/>
        <w:spacing w:after="100" w:before="260"/>
      </w:pPr>
      <w:r>
        <w:t xml:space="preserve">Solution retenue</w:t>
      </w:r>
    </w:p>
    <w:p>
      <w:pPr>
        <w:pStyle w:val="ListParagraph"/>
        <w:numPr>
          <w:ilvl w:val="0"/>
          <w:numId w:val="2"/>
        </w:numPr>
        <w:spacing w:after="70"/>
      </w:pPr>
      <w:r>
        <w:t xml:space="preserve">Principe : toujours lire le rapport par classe d'un run nano avant de monter en taille, pour trancher lequel des deux cas s'applique plutôt que de parier.</w:t>
      </w:r>
    </w:p>
    <w:p>
      <w:pPr>
        <w:spacing w:after="100"/>
      </w:pPr>
      <w:r>
        <w:rPr>
          <w:sz w:val="20"/>
          <w:szCs w:val="20"/>
        </w:rPr>
        <w:t xml:space="preserve">Preuve empirique la plus propre à ce jour (dataset mono-classe, patience=0 pour ne pas confondre convergence et réglage)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2300"/>
        <w:gridCol w:w="1100"/>
        <w:gridCol w:w="1700"/>
      </w:tblGrid>
      <w:tr>
        <w:trPr>
          <w:tblHeader/>
        </w:trPr>
        <w:tc>
          <w:tcPr>
            <w:tcW w:type="dxa" w:w="2600"/>
            <w:shd w:fill="1F5C4A" w:color="auto" w:val="clear"/>
            <w:tcMar>
              <w:top w:type="dxa" w:w="60"/>
              <w:left w:type="dxa" w:w="100"/>
              <w:bottom w:type="dxa" w:w="60"/>
              <w:right w:type="dxa" w:w="100"/>
            </w:tcMar>
          </w:tcPr>
          <w:p>
            <w:pPr>
              <w:jc w:val="left"/>
            </w:pPr>
            <w:r>
              <w:rPr>
                <w:b/>
                <w:bCs/>
                <w:sz w:val="19"/>
                <w:szCs w:val="19"/>
              </w:rPr>
              <w:t xml:space="preserve">Run</w:t>
            </w:r>
          </w:p>
        </w:tc>
        <w:tc>
          <w:tcPr>
            <w:tcW w:type="dxa" w:w="1300"/>
            <w:shd w:fill="1F5C4A" w:color="auto" w:val="clear"/>
            <w:tcMar>
              <w:top w:type="dxa" w:w="60"/>
              <w:left w:type="dxa" w:w="100"/>
              <w:bottom w:type="dxa" w:w="60"/>
              <w:right w:type="dxa" w:w="100"/>
            </w:tcMar>
          </w:tcPr>
          <w:p>
            <w:pPr>
              <w:jc w:val="left"/>
            </w:pPr>
            <w:r>
              <w:rPr>
                <w:b/>
                <w:bCs/>
                <w:sz w:val="19"/>
                <w:szCs w:val="19"/>
              </w:rPr>
              <w:t xml:space="preserve">Modèle</w:t>
            </w:r>
          </w:p>
        </w:tc>
        <w:tc>
          <w:tcPr>
            <w:tcW w:type="dxa" w:w="2300"/>
            <w:shd w:fill="1F5C4A" w:color="auto" w:val="clear"/>
            <w:tcMar>
              <w:top w:type="dxa" w:w="60"/>
              <w:left w:type="dxa" w:w="100"/>
              <w:bottom w:type="dxa" w:w="60"/>
              <w:right w:type="dxa" w:w="100"/>
            </w:tcMar>
          </w:tcPr>
          <w:p>
            <w:pPr>
              <w:jc w:val="left"/>
            </w:pPr>
            <w:r>
              <w:rPr>
                <w:b/>
                <w:bCs/>
                <w:sz w:val="19"/>
                <w:szCs w:val="19"/>
              </w:rPr>
              <w:t xml:space="preserve">Réglage</w:t>
            </w:r>
          </w:p>
        </w:tc>
        <w:tc>
          <w:tcPr>
            <w:tcW w:type="dxa" w:w="1100"/>
            <w:shd w:fill="1F5C4A" w:color="auto" w:val="clear"/>
            <w:tcMar>
              <w:top w:type="dxa" w:w="60"/>
              <w:left w:type="dxa" w:w="100"/>
              <w:bottom w:type="dxa" w:w="60"/>
              <w:right w:type="dxa" w:w="100"/>
            </w:tcMar>
          </w:tcPr>
          <w:p>
            <w:pPr>
              <w:jc w:val="left"/>
            </w:pPr>
            <w:r>
              <w:rPr>
                <w:b/>
                <w:bCs/>
                <w:sz w:val="19"/>
                <w:szCs w:val="19"/>
              </w:rPr>
              <w:t xml:space="preserve">F1 test</w:t>
            </w:r>
          </w:p>
        </w:tc>
        <w:tc>
          <w:tcPr>
            <w:tcW w:type="dxa" w:w="1700"/>
            <w:shd w:fill="1F5C4A" w:color="auto" w:val="clear"/>
            <w:tcMar>
              <w:top w:type="dxa" w:w="60"/>
              <w:left w:type="dxa" w:w="100"/>
              <w:bottom w:type="dxa" w:w="60"/>
              <w:right w:type="dxa" w:w="100"/>
            </w:tcMar>
          </w:tcPr>
          <w:p>
            <w:pPr>
              <w:jc w:val="left"/>
            </w:pPr>
            <w:r>
              <w:rPr>
                <w:b/>
                <w:bCs/>
                <w:sz w:val="19"/>
                <w:szCs w:val="19"/>
              </w:rPr>
              <w:t xml:space="preserve">P / R test</w:t>
            </w:r>
          </w:p>
        </w:tc>
      </w:tr>
      <w:tr>
        <w:tc>
          <w:tcPr>
            <w:tcW w:type="dxa" w:w="2600"/>
            <w:tcMar>
              <w:top w:type="dxa" w:w="60"/>
              <w:left w:type="dxa" w:w="100"/>
              <w:bottom w:type="dxa" w:w="60"/>
              <w:right w:type="dxa" w:w="100"/>
            </w:tcMar>
          </w:tcPr>
          <w:p>
            <w:pPr>
              <w:jc w:val="left"/>
            </w:pPr>
            <w:r>
              <w:rPr>
                <w:b w:val="false"/>
                <w:bCs w:val="false"/>
                <w:sz w:val="19"/>
                <w:szCs w:val="19"/>
              </w:rPr>
              <w:t xml:space="preserve">mono_class_baseline</w:t>
            </w:r>
          </w:p>
        </w:tc>
        <w:tc>
          <w:tcPr>
            <w:tcW w:type="dxa" w:w="1300"/>
            <w:tcMar>
              <w:top w:type="dxa" w:w="60"/>
              <w:left w:type="dxa" w:w="100"/>
              <w:bottom w:type="dxa" w:w="60"/>
              <w:right w:type="dxa" w:w="100"/>
            </w:tcMar>
          </w:tcPr>
          <w:p>
            <w:pPr>
              <w:jc w:val="left"/>
            </w:pPr>
            <w:r>
              <w:rPr>
                <w:b w:val="false"/>
                <w:bCs w:val="false"/>
                <w:sz w:val="19"/>
                <w:szCs w:val="19"/>
              </w:rPr>
              <w:t xml:space="preserve">yolo11n-seg</w:t>
            </w:r>
          </w:p>
        </w:tc>
        <w:tc>
          <w:tcPr>
            <w:tcW w:type="dxa" w:w="2300"/>
            <w:tcMar>
              <w:top w:type="dxa" w:w="60"/>
              <w:left w:type="dxa" w:w="100"/>
              <w:bottom w:type="dxa" w:w="60"/>
              <w:right w:type="dxa" w:w="100"/>
            </w:tcMar>
          </w:tcPr>
          <w:p>
            <w:pPr>
              <w:jc w:val="left"/>
            </w:pPr>
            <w:r>
              <w:rPr>
                <w:b w:val="false"/>
                <w:bCs w:val="false"/>
                <w:sz w:val="19"/>
                <w:szCs w:val="19"/>
              </w:rPr>
              <w:t xml:space="preserve">défauts (patience=20)</w:t>
            </w:r>
          </w:p>
        </w:tc>
        <w:tc>
          <w:tcPr>
            <w:tcW w:type="dxa" w:w="1100"/>
            <w:tcMar>
              <w:top w:type="dxa" w:w="60"/>
              <w:left w:type="dxa" w:w="100"/>
              <w:bottom w:type="dxa" w:w="60"/>
              <w:right w:type="dxa" w:w="100"/>
            </w:tcMar>
          </w:tcPr>
          <w:p>
            <w:pPr>
              <w:jc w:val="left"/>
            </w:pPr>
            <w:r>
              <w:rPr>
                <w:b w:val="false"/>
                <w:bCs w:val="false"/>
                <w:sz w:val="19"/>
                <w:szCs w:val="19"/>
              </w:rPr>
              <w:t xml:space="preserve">0,455</w:t>
            </w:r>
          </w:p>
        </w:tc>
        <w:tc>
          <w:tcPr>
            <w:tcW w:type="dxa" w:w="1700"/>
            <w:tcMar>
              <w:top w:type="dxa" w:w="60"/>
              <w:left w:type="dxa" w:w="100"/>
              <w:bottom w:type="dxa" w:w="60"/>
              <w:right w:type="dxa" w:w="100"/>
            </w:tcMar>
          </w:tcPr>
          <w:p>
            <w:pPr>
              <w:jc w:val="left"/>
            </w:pPr>
            <w:r>
              <w:rPr>
                <w:b w:val="false"/>
                <w:bCs w:val="false"/>
                <w:sz w:val="19"/>
                <w:szCs w:val="19"/>
              </w:rPr>
              <w:t xml:space="preserve">0,522 / 0,404</w:t>
            </w:r>
          </w:p>
        </w:tc>
      </w:tr>
      <w:tr>
        <w:tc>
          <w:tcPr>
            <w:tcW w:type="dxa" w:w="2600"/>
            <w:shd w:fill="EAF2EF" w:color="auto" w:val="clear"/>
            <w:tcMar>
              <w:top w:type="dxa" w:w="60"/>
              <w:left w:type="dxa" w:w="100"/>
              <w:bottom w:type="dxa" w:w="60"/>
              <w:right w:type="dxa" w:w="100"/>
            </w:tcMar>
          </w:tcPr>
          <w:p>
            <w:pPr>
              <w:jc w:val="left"/>
            </w:pPr>
            <w:r>
              <w:rPr>
                <w:b w:val="false"/>
                <w:bCs w:val="false"/>
                <w:sz w:val="19"/>
                <w:szCs w:val="19"/>
              </w:rPr>
              <w:t xml:space="preserve">mono_class_tuned_recipe</w:t>
            </w:r>
          </w:p>
        </w:tc>
        <w:tc>
          <w:tcPr>
            <w:tcW w:type="dxa" w:w="1300"/>
            <w:shd w:fill="EAF2EF" w:color="auto" w:val="clear"/>
            <w:tcMar>
              <w:top w:type="dxa" w:w="60"/>
              <w:left w:type="dxa" w:w="100"/>
              <w:bottom w:type="dxa" w:w="60"/>
              <w:right w:type="dxa" w:w="100"/>
            </w:tcMar>
          </w:tcPr>
          <w:p>
            <w:pPr>
              <w:jc w:val="left"/>
            </w:pPr>
            <w:r>
              <w:rPr>
                <w:b w:val="false"/>
                <w:bCs w:val="false"/>
                <w:sz w:val="19"/>
                <w:szCs w:val="19"/>
              </w:rPr>
              <w:t xml:space="preserve">yolo11n-seg</w:t>
            </w:r>
          </w:p>
        </w:tc>
        <w:tc>
          <w:tcPr>
            <w:tcW w:type="dxa" w:w="2300"/>
            <w:shd w:fill="EAF2EF" w:color="auto" w:val="clear"/>
            <w:tcMar>
              <w:top w:type="dxa" w:w="60"/>
              <w:left w:type="dxa" w:w="100"/>
              <w:bottom w:type="dxa" w:w="60"/>
              <w:right w:type="dxa" w:w="100"/>
            </w:tcMar>
          </w:tcPr>
          <w:p>
            <w:pPr>
              <w:jc w:val="left"/>
            </w:pPr>
            <w:r>
              <w:rPr>
                <w:b w:val="false"/>
                <w:bCs w:val="false"/>
                <w:sz w:val="19"/>
                <w:szCs w:val="19"/>
              </w:rPr>
              <w:t xml:space="preserve">degrees=180/flipud=0,5</w:t>
            </w:r>
          </w:p>
        </w:tc>
        <w:tc>
          <w:tcPr>
            <w:tcW w:type="dxa" w:w="1100"/>
            <w:shd w:fill="EAF2EF" w:color="auto" w:val="clear"/>
            <w:tcMar>
              <w:top w:type="dxa" w:w="60"/>
              <w:left w:type="dxa" w:w="100"/>
              <w:bottom w:type="dxa" w:w="60"/>
              <w:right w:type="dxa" w:w="100"/>
            </w:tcMar>
          </w:tcPr>
          <w:p>
            <w:pPr>
              <w:jc w:val="left"/>
            </w:pPr>
            <w:r>
              <w:rPr>
                <w:b w:val="false"/>
                <w:bCs w:val="false"/>
                <w:sz w:val="19"/>
                <w:szCs w:val="19"/>
              </w:rPr>
              <w:t xml:space="preserve">0,519</w:t>
            </w:r>
          </w:p>
        </w:tc>
        <w:tc>
          <w:tcPr>
            <w:tcW w:type="dxa" w:w="1700"/>
            <w:shd w:fill="EAF2EF" w:color="auto" w:val="clear"/>
            <w:tcMar>
              <w:top w:type="dxa" w:w="60"/>
              <w:left w:type="dxa" w:w="100"/>
              <w:bottom w:type="dxa" w:w="60"/>
              <w:right w:type="dxa" w:w="100"/>
            </w:tcMar>
          </w:tcPr>
          <w:p>
            <w:pPr>
              <w:jc w:val="left"/>
            </w:pPr>
            <w:r>
              <w:rPr>
                <w:b w:val="false"/>
                <w:bCs w:val="false"/>
                <w:sz w:val="19"/>
                <w:szCs w:val="19"/>
              </w:rPr>
              <w:t xml:space="preserve">0,584 / 0,468</w:t>
            </w:r>
          </w:p>
        </w:tc>
      </w:tr>
      <w:tr>
        <w:tc>
          <w:tcPr>
            <w:tcW w:type="dxa" w:w="2600"/>
            <w:tcMar>
              <w:top w:type="dxa" w:w="60"/>
              <w:left w:type="dxa" w:w="100"/>
              <w:bottom w:type="dxa" w:w="60"/>
              <w:right w:type="dxa" w:w="100"/>
            </w:tcMar>
          </w:tcPr>
          <w:p>
            <w:pPr>
              <w:jc w:val="left"/>
            </w:pPr>
            <w:r>
              <w:rPr>
                <w:b w:val="false"/>
                <w:bCs w:val="false"/>
                <w:sz w:val="19"/>
                <w:szCs w:val="19"/>
              </w:rPr>
              <w:t xml:space="preserve">mono_class_imgsz960</w:t>
            </w:r>
          </w:p>
        </w:tc>
        <w:tc>
          <w:tcPr>
            <w:tcW w:type="dxa" w:w="1300"/>
            <w:tcMar>
              <w:top w:type="dxa" w:w="60"/>
              <w:left w:type="dxa" w:w="100"/>
              <w:bottom w:type="dxa" w:w="60"/>
              <w:right w:type="dxa" w:w="100"/>
            </w:tcMar>
          </w:tcPr>
          <w:p>
            <w:pPr>
              <w:jc w:val="left"/>
            </w:pPr>
            <w:r>
              <w:rPr>
                <w:b w:val="false"/>
                <w:bCs w:val="false"/>
                <w:sz w:val="19"/>
                <w:szCs w:val="19"/>
              </w:rPr>
              <w:t xml:space="preserve">yolo11n-seg</w:t>
            </w:r>
          </w:p>
        </w:tc>
        <w:tc>
          <w:tcPr>
            <w:tcW w:type="dxa" w:w="2300"/>
            <w:tcMar>
              <w:top w:type="dxa" w:w="60"/>
              <w:left w:type="dxa" w:w="100"/>
              <w:bottom w:type="dxa" w:w="60"/>
              <w:right w:type="dxa" w:w="100"/>
            </w:tcMar>
          </w:tcPr>
          <w:p>
            <w:pPr>
              <w:jc w:val="left"/>
            </w:pPr>
            <w:r>
              <w:rPr>
                <w:b w:val="false"/>
                <w:bCs w:val="false"/>
                <w:sz w:val="19"/>
                <w:szCs w:val="19"/>
              </w:rPr>
              <w:t xml:space="preserve">tuned_recipe + imgsz=960</w:t>
            </w:r>
          </w:p>
        </w:tc>
        <w:tc>
          <w:tcPr>
            <w:tcW w:type="dxa" w:w="1100"/>
            <w:tcMar>
              <w:top w:type="dxa" w:w="60"/>
              <w:left w:type="dxa" w:w="100"/>
              <w:bottom w:type="dxa" w:w="60"/>
              <w:right w:type="dxa" w:w="100"/>
            </w:tcMar>
          </w:tcPr>
          <w:p>
            <w:pPr>
              <w:jc w:val="left"/>
            </w:pPr>
            <w:r>
              <w:rPr>
                <w:b w:val="false"/>
                <w:bCs w:val="false"/>
                <w:sz w:val="19"/>
                <w:szCs w:val="19"/>
              </w:rPr>
              <w:t xml:space="preserve">0,494</w:t>
            </w:r>
          </w:p>
        </w:tc>
        <w:tc>
          <w:tcPr>
            <w:tcW w:type="dxa" w:w="1700"/>
            <w:tcMar>
              <w:top w:type="dxa" w:w="60"/>
              <w:left w:type="dxa" w:w="100"/>
              <w:bottom w:type="dxa" w:w="60"/>
              <w:right w:type="dxa" w:w="100"/>
            </w:tcMar>
          </w:tcPr>
          <w:p>
            <w:pPr>
              <w:jc w:val="left"/>
            </w:pPr>
            <w:r>
              <w:rPr>
                <w:b w:val="false"/>
                <w:bCs w:val="false"/>
                <w:sz w:val="19"/>
                <w:szCs w:val="19"/>
              </w:rPr>
              <w:t xml:space="preserve">0,635 / 0,404</w:t>
            </w:r>
          </w:p>
        </w:tc>
      </w:tr>
      <w:tr>
        <w:tc>
          <w:tcPr>
            <w:tcW w:type="dxa" w:w="2600"/>
            <w:shd w:fill="EAF2EF" w:color="auto" w:val="clear"/>
            <w:tcMar>
              <w:top w:type="dxa" w:w="60"/>
              <w:left w:type="dxa" w:w="100"/>
              <w:bottom w:type="dxa" w:w="60"/>
              <w:right w:type="dxa" w:w="100"/>
            </w:tcMar>
          </w:tcPr>
          <w:p>
            <w:pPr>
              <w:jc w:val="left"/>
            </w:pPr>
            <w:r>
              <w:rPr>
                <w:b w:val="false"/>
                <w:bCs w:val="false"/>
                <w:sz w:val="19"/>
                <w:szCs w:val="19"/>
              </w:rPr>
              <w:t xml:space="preserve">mono_class_yolo11s</w:t>
            </w:r>
          </w:p>
        </w:tc>
        <w:tc>
          <w:tcPr>
            <w:tcW w:type="dxa" w:w="1300"/>
            <w:shd w:fill="EAF2EF" w:color="auto" w:val="clear"/>
            <w:tcMar>
              <w:top w:type="dxa" w:w="60"/>
              <w:left w:type="dxa" w:w="100"/>
              <w:bottom w:type="dxa" w:w="60"/>
              <w:right w:type="dxa" w:w="100"/>
            </w:tcMar>
          </w:tcPr>
          <w:p>
            <w:pPr>
              <w:jc w:val="left"/>
            </w:pPr>
            <w:r>
              <w:rPr>
                <w:b w:val="false"/>
                <w:bCs w:val="false"/>
                <w:sz w:val="19"/>
                <w:szCs w:val="19"/>
              </w:rPr>
              <w:t xml:space="preserve">yolo11s-seg</w:t>
            </w:r>
          </w:p>
        </w:tc>
        <w:tc>
          <w:tcPr>
            <w:tcW w:type="dxa" w:w="2300"/>
            <w:shd w:fill="EAF2EF" w:color="auto" w:val="clear"/>
            <w:tcMar>
              <w:top w:type="dxa" w:w="60"/>
              <w:left w:type="dxa" w:w="100"/>
              <w:bottom w:type="dxa" w:w="60"/>
              <w:right w:type="dxa" w:w="100"/>
            </w:tcMar>
          </w:tcPr>
          <w:p>
            <w:pPr>
              <w:jc w:val="left"/>
            </w:pPr>
            <w:r>
              <w:rPr>
                <w:b w:val="false"/>
                <w:bCs w:val="false"/>
                <w:sz w:val="19"/>
                <w:szCs w:val="19"/>
              </w:rPr>
              <w:t xml:space="preserve">tuned_recipe</w:t>
            </w:r>
          </w:p>
        </w:tc>
        <w:tc>
          <w:tcPr>
            <w:tcW w:type="dxa" w:w="1100"/>
            <w:shd w:fill="EAF2EF" w:color="auto" w:val="clear"/>
            <w:tcMar>
              <w:top w:type="dxa" w:w="60"/>
              <w:left w:type="dxa" w:w="100"/>
              <w:bottom w:type="dxa" w:w="60"/>
              <w:right w:type="dxa" w:w="100"/>
            </w:tcMar>
          </w:tcPr>
          <w:p>
            <w:pPr>
              <w:jc w:val="left"/>
            </w:pPr>
            <w:r>
              <w:rPr>
                <w:b w:val="false"/>
                <w:bCs w:val="false"/>
                <w:sz w:val="19"/>
                <w:szCs w:val="19"/>
              </w:rPr>
              <w:t xml:space="preserve">0,462</w:t>
            </w:r>
          </w:p>
        </w:tc>
        <w:tc>
          <w:tcPr>
            <w:tcW w:type="dxa" w:w="1700"/>
            <w:shd w:fill="EAF2EF" w:color="auto" w:val="clear"/>
            <w:tcMar>
              <w:top w:type="dxa" w:w="60"/>
              <w:left w:type="dxa" w:w="100"/>
              <w:bottom w:type="dxa" w:w="60"/>
              <w:right w:type="dxa" w:w="100"/>
            </w:tcMar>
          </w:tcPr>
          <w:p>
            <w:pPr>
              <w:jc w:val="left"/>
            </w:pPr>
            <w:r>
              <w:rPr>
                <w:b w:val="false"/>
                <w:bCs w:val="false"/>
                <w:sz w:val="19"/>
                <w:szCs w:val="19"/>
              </w:rPr>
              <w:t xml:space="preserve">0,560 / 0,393</w:t>
            </w:r>
          </w:p>
        </w:tc>
      </w:tr>
      <w:tr>
        <w:tc>
          <w:tcPr>
            <w:tcW w:type="dxa" w:w="2600"/>
            <w:tcMar>
              <w:top w:type="dxa" w:w="60"/>
              <w:left w:type="dxa" w:w="100"/>
              <w:bottom w:type="dxa" w:w="60"/>
              <w:right w:type="dxa" w:w="100"/>
            </w:tcMar>
          </w:tcPr>
          <w:p>
            <w:pPr>
              <w:jc w:val="left"/>
            </w:pPr>
            <w:r>
              <w:rPr>
                <w:b w:val="false"/>
                <w:bCs w:val="false"/>
                <w:sz w:val="19"/>
                <w:szCs w:val="19"/>
              </w:rPr>
              <w:t xml:space="preserve">mono_class_tuned_recipe (retenu)</w:t>
            </w:r>
          </w:p>
        </w:tc>
        <w:tc>
          <w:tcPr>
            <w:tcW w:type="dxa" w:w="1300"/>
            <w:tcMar>
              <w:top w:type="dxa" w:w="60"/>
              <w:left w:type="dxa" w:w="100"/>
              <w:bottom w:type="dxa" w:w="60"/>
              <w:right w:type="dxa" w:w="100"/>
            </w:tcMar>
          </w:tcPr>
          <w:p>
            <w:pPr>
              <w:jc w:val="left"/>
            </w:pPr>
            <w:r>
              <w:rPr>
                <w:b w:val="false"/>
                <w:bCs w:val="false"/>
                <w:sz w:val="19"/>
                <w:szCs w:val="19"/>
              </w:rPr>
              <w:t xml:space="preserve">yolo11s-seg</w:t>
            </w:r>
          </w:p>
        </w:tc>
        <w:tc>
          <w:tcPr>
            <w:tcW w:type="dxa" w:w="2300"/>
            <w:tcMar>
              <w:top w:type="dxa" w:w="60"/>
              <w:left w:type="dxa" w:w="100"/>
              <w:bottom w:type="dxa" w:w="60"/>
              <w:right w:type="dxa" w:w="100"/>
            </w:tcMar>
          </w:tcPr>
          <w:p>
            <w:pPr>
              <w:jc w:val="left"/>
            </w:pPr>
            <w:r>
              <w:rPr>
                <w:b w:val="false"/>
                <w:bCs w:val="false"/>
                <w:sz w:val="19"/>
                <w:szCs w:val="19"/>
              </w:rPr>
              <w:t xml:space="preserve">tuned_recipe</w:t>
            </w:r>
          </w:p>
        </w:tc>
        <w:tc>
          <w:tcPr>
            <w:tcW w:type="dxa" w:w="1100"/>
            <w:tcMar>
              <w:top w:type="dxa" w:w="60"/>
              <w:left w:type="dxa" w:w="100"/>
              <w:bottom w:type="dxa" w:w="60"/>
              <w:right w:type="dxa" w:w="100"/>
            </w:tcMar>
          </w:tcPr>
          <w:p>
            <w:pPr>
              <w:jc w:val="left"/>
            </w:pPr>
            <w:r>
              <w:rPr>
                <w:b w:val="false"/>
                <w:bCs w:val="false"/>
                <w:sz w:val="19"/>
                <w:szCs w:val="19"/>
              </w:rPr>
              <w:t xml:space="preserve">0,532</w:t>
            </w:r>
          </w:p>
        </w:tc>
        <w:tc>
          <w:tcPr>
            <w:tcW w:type="dxa" w:w="1700"/>
            <w:tcMar>
              <w:top w:type="dxa" w:w="60"/>
              <w:left w:type="dxa" w:w="100"/>
              <w:bottom w:type="dxa" w:w="60"/>
              <w:right w:type="dxa" w:w="100"/>
            </w:tcMar>
          </w:tcPr>
          <w:p>
            <w:pPr>
              <w:jc w:val="left"/>
            </w:pPr>
            <w:r>
              <w:rPr>
                <w:b w:val="false"/>
                <w:bCs w:val="false"/>
                <w:sz w:val="19"/>
                <w:szCs w:val="19"/>
              </w:rPr>
              <w:t xml:space="preserve">0,538 / 0,527</w:t>
            </w:r>
          </w:p>
        </w:tc>
      </w:tr>
    </w:tbl>
    <w:p>
      <w:pPr>
        <w:spacing w:after="160" w:before="60"/>
      </w:pPr>
      <w:r>
        <w:rPr>
          <w:i/>
          <w:iCs/>
          <w:color w:val="555555"/>
          <w:sz w:val="17"/>
          <w:szCs w:val="17"/>
        </w:rPr>
        <w:t xml:space="preserve">Test set, dataset mono-classe. Source : compare_runs.py --out-csv, complété par config/models_registry.yaml.</w:t>
      </w:r>
    </w:p>
    <w:p>
      <w:pPr>
        <w:pStyle w:val="ListParagraph"/>
        <w:numPr>
          <w:ilvl w:val="0"/>
          <w:numId w:val="2"/>
        </w:numPr>
        <w:spacing w:after="70"/>
      </w:pPr>
      <w:r>
        <w:t xml:space="preserve">yolo11s SEUL (sans augmentation nadir, 4e ligne) n'apporte aucun gain (F1 0,462 vs 0,519 pour le nano équivalent) — cohérent avec le principe ci-dessus : l'augmentation nadir (brique 4) a plus déplacé le score que la capacité du modèle.</w:t>
      </w:r>
    </w:p>
    <w:p>
      <w:pPr>
        <w:pStyle w:val="ListParagraph"/>
        <w:numPr>
          <w:ilvl w:val="0"/>
          <w:numId w:val="2"/>
        </w:numPr>
        <w:spacing w:after="70"/>
      </w:pPr>
      <w:r>
        <w:t xml:space="preserve">Monter la résolution d'entrée (imgsz=960 vs 640) échange précision contre rappel sans gain net (F1 0,494).</w:t>
      </w:r>
    </w:p>
    <w:p>
      <w:pPr>
        <w:pStyle w:val="ListParagraph"/>
        <w:numPr>
          <w:ilvl w:val="0"/>
          <w:numId w:val="2"/>
        </w:numPr>
        <w:spacing w:after="70"/>
      </w:pPr>
      <w:r>
        <w:t xml:space="preserve">Seule la combinaison small + augmentation nadir (dernière ligne, modèle retenu en production mono-classe) dépasse nettement le nano+augmentation seul (F1 0,532 vs 0,519).</w:t>
      </w:r>
    </w:p>
    <w:p>
      <w:pPr>
        <w:pStyle w:val="Heading2"/>
        <w:spacing w:after="100" w:before="260"/>
      </w:pPr>
      <w:r>
        <w:t xml:space="preserve">Points ouverts</w:t>
      </w:r>
    </w:p>
    <w:p>
      <w:pPr>
        <w:pStyle w:val="ListParagraph"/>
        <w:numPr>
          <w:ilvl w:val="0"/>
          <w:numId w:val="2"/>
        </w:numPr>
        <w:spacing w:after="70"/>
      </w:pPr>
      <w:r>
        <w:t xml:space="preserve">L'effet de synergie small + augmentation (vs deux effets indépendants additifs) n'est pas isolé avec certitude — il manque un run « small SANS augmentation nadir » pour compléter le tableau.</w:t>
      </w:r>
    </w:p>
    <w:p>
      <w:pPr>
        <w:pStyle w:val="ListParagraph"/>
        <w:numPr>
          <w:ilvl w:val="0"/>
          <w:numId w:val="2"/>
        </w:numPr>
        <w:spacing w:after="70"/>
      </w:pPr>
      <w:r>
        <w:t xml:space="preserve">Trois runs prévus pour comparer explicitement BATCH=1/32/64 ont en réalité tous tourné avec </w:t>
      </w:r>
      <w:r>
        <w:rPr>
          <w:rFonts w:ascii="Consolas" w:cs="Consolas" w:eastAsia="Consolas" w:hAnsi="Consolas"/>
          <w:sz w:val="19"/>
          <w:szCs w:val="19"/>
        </w:rPr>
        <w:t xml:space="preserve">BATCH=16</w:t>
      </w:r>
      <w:r>
        <w:t xml:space="preserve"> (vérifié dans leur args.yaml respectif) — cette expérience reste à refaire correctement.</w:t>
      </w:r>
    </w:p>
    <w:p>
      <w:pPr>
        <w:pStyle w:val="Heading1"/>
        <w:spacing w:after="160" w:before="400"/>
      </w:pPr>
      <w:r>
        <w:t xml:space="preserve">4. Augmentation géométrique (vue nadir)</w:t>
      </w:r>
    </w:p>
    <w:p>
      <w:pPr>
        <w:pStyle w:val="Heading2"/>
        <w:spacing w:after="100" w:before="260"/>
      </w:pPr>
      <w:r>
        <w:t xml:space="preserve">Problématique</w:t>
      </w:r>
    </w:p>
    <w:p>
      <w:pPr>
        <w:pStyle w:val="ListParagraph"/>
        <w:numPr>
          <w:ilvl w:val="0"/>
          <w:numId w:val="2"/>
        </w:numPr>
        <w:spacing w:after="70"/>
      </w:pPr>
      <w:r>
        <w:t xml:space="preserve">Les défauts d'augmentation Ultralytics sont calibrés pour des photos avec un « haut » naturel (COCO). Les images du projet sont des vues NADIR (drone à la verticale) : un déchet photographié du dessus n'a aucune orientation privilégiée.</w:t>
      </w:r>
    </w:p>
    <w:p>
      <w:pPr>
        <w:pStyle w:val="Heading2"/>
        <w:spacing w:after="100" w:before="260"/>
      </w:pPr>
      <w:r>
        <w:t xml:space="preserve">Solution retenue</w:t>
      </w:r>
    </w:p>
    <w:p>
      <w:pPr>
        <w:pStyle w:val="ListParagraph"/>
        <w:numPr>
          <w:ilvl w:val="0"/>
          <w:numId w:val="2"/>
        </w:numPr>
        <w:spacing w:after="70"/>
      </w:pPr>
      <w:r>
        <w:t xml:space="preserve"/>
      </w:r>
      <w:r>
        <w:rPr>
          <w:rFonts w:ascii="Consolas" w:cs="Consolas" w:eastAsia="Consolas" w:hAnsi="Consolas"/>
          <w:sz w:val="19"/>
          <w:szCs w:val="19"/>
        </w:rPr>
        <w:t xml:space="preserve">degrees=180</w:t>
      </w:r>
      <w:r>
        <w:t xml:space="preserve"> (rotation aléatoire sur tout le cercle, défaut Ultralytics 0).</w:t>
      </w:r>
    </w:p>
    <w:p>
      <w:pPr>
        <w:pStyle w:val="ListParagraph"/>
        <w:numPr>
          <w:ilvl w:val="0"/>
          <w:numId w:val="2"/>
        </w:numPr>
        <w:spacing w:after="70"/>
      </w:pPr>
      <w:r>
        <w:t xml:space="preserve"/>
      </w:r>
      <w:r>
        <w:rPr>
          <w:rFonts w:ascii="Consolas" w:cs="Consolas" w:eastAsia="Consolas" w:hAnsi="Consolas"/>
          <w:sz w:val="19"/>
          <w:szCs w:val="19"/>
        </w:rPr>
        <w:t xml:space="preserve">flipud=0,5</w:t>
      </w:r>
      <w:r>
        <w:t xml:space="preserve"> (retournement vertical aléatoire, aligné sur fliplr déjà à 0,5 par défaut — illogique de garder les deux retournements à des taux différents en l'absence de tout « haut » privilégié).</w:t>
      </w:r>
    </w:p>
    <w:p>
      <w:pPr>
        <w:pStyle w:val="ListParagraph"/>
        <w:numPr>
          <w:ilvl w:val="0"/>
          <w:numId w:val="2"/>
        </w:numPr>
        <w:spacing w:after="70"/>
      </w:pPr>
      <w:r>
        <w:t xml:space="preserve">Ces deux réglages corrigent un fait GÉOMÉTRIQUE du dataset : contrairement aux leviers de la brique 5, ils restent actifs quel que soit le nombre de classes ou l'objectif d'un run, jamais désactivés par réflexe pour isoler une autre variable.</w:t>
      </w:r>
    </w:p>
    <w:p>
      <w:pPr>
        <w:pStyle w:val="ListParagraph"/>
        <w:numPr>
          <w:ilvl w:val="0"/>
          <w:numId w:val="2"/>
        </w:numPr>
        <w:spacing w:after="70"/>
      </w:pPr>
      <w:r>
        <w:t xml:space="preserve">Effet mesuré : le changement isolé le plus efficace observé à ce jour (F1 test mono-classe 0,455 → 0,519, +6,4 points), devant tout changement d'architecture testé (brique 3).</w:t>
      </w:r>
    </w:p>
    <w:p>
      <w:pPr>
        <w:pStyle w:val="Heading2"/>
        <w:spacing w:after="100" w:before="260"/>
      </w:pPr>
      <w:r>
        <w:t xml:space="preserve">Points ouverts</w:t>
      </w:r>
    </w:p>
    <w:p>
      <w:pPr>
        <w:pStyle w:val="ListParagraph"/>
        <w:numPr>
          <w:ilvl w:val="0"/>
          <w:numId w:val="2"/>
        </w:numPr>
        <w:spacing w:after="70"/>
      </w:pPr>
      <w:r>
        <w:t xml:space="preserve">Aucun — réglage considéré acquis (« non négociable »).</w:t>
      </w:r>
    </w:p>
    <w:p>
      <w:pPr>
        <w:pStyle w:val="Heading1"/>
        <w:spacing w:after="160" w:before="400"/>
      </w:pPr>
      <w:r>
        <w:t xml:space="preserve">5. Rééquilibrage des classes</w:t>
      </w:r>
    </w:p>
    <w:p>
      <w:pPr>
        <w:pStyle w:val="Heading2"/>
        <w:spacing w:after="100" w:before="260"/>
      </w:pPr>
      <w:r>
        <w:t xml:space="preserve">Problématique</w:t>
      </w:r>
    </w:p>
    <w:p>
      <w:pPr>
        <w:pStyle w:val="ListParagraph"/>
        <w:numPr>
          <w:ilvl w:val="0"/>
          <w:numId w:val="2"/>
        </w:numPr>
        <w:spacing w:after="70"/>
      </w:pPr>
      <w:r>
        <w:t xml:space="preserve">Le dataset multi-classe souffre d'un déséquilibre extrême (Debris_Divers, catégorie fourre-tout, très majoritaire face aux six autres classes).</w:t>
      </w:r>
    </w:p>
    <w:p>
      <w:pPr>
        <w:pStyle w:val="Heading2"/>
        <w:spacing w:after="100" w:before="260"/>
      </w:pPr>
      <w:r>
        <w:t xml:space="preserve">Solution testée : quatre leviers natifs Ultralytics</w:t>
      </w:r>
    </w:p>
    <w:p>
      <w:pPr>
        <w:pStyle w:val="ListParagraph"/>
        <w:numPr>
          <w:ilvl w:val="0"/>
          <w:numId w:val="2"/>
        </w:numPr>
        <w:spacing w:after="70"/>
      </w:pPr>
      <w:r>
        <w:t xml:space="preserve">Chacun isolé contre la même référence stable (même fingerprint de dataset), une seule variable changée à la fois — condition nécessaire pour qu'une comparaison ait un sens.</w:t>
      </w:r>
    </w:p>
    <w:p>
      <w:pPr>
        <w:pStyle w:val="ListParagraph"/>
        <w:numPr>
          <w:ilvl w:val="0"/>
          <w:numId w:val="2"/>
        </w:numPr>
        <w:spacing w:after="70"/>
      </w:pPr>
      <w:r>
        <w:t xml:space="preserve"/>
      </w:r>
      <w:r>
        <w:rPr>
          <w:rFonts w:ascii="Consolas" w:cs="Consolas" w:eastAsia="Consolas" w:hAnsi="Consolas"/>
          <w:sz w:val="19"/>
          <w:szCs w:val="19"/>
        </w:rPr>
        <w:t xml:space="preserve">copy_paste</w:t>
      </w:r>
      <w:r>
        <w:t xml:space="preserve"> : colle des instances segmentées dans le même batch. Mode « flip » = copie miroir d'une instance de la MÊME image ; « mixup » = instance d'une AUTRE image (risque de collage incohérent).</w:t>
      </w:r>
    </w:p>
    <w:p>
      <w:pPr>
        <w:pStyle w:val="ListParagraph"/>
        <w:numPr>
          <w:ilvl w:val="0"/>
          <w:numId w:val="2"/>
        </w:numPr>
        <w:spacing w:after="70"/>
      </w:pPr>
      <w:r>
        <w:t xml:space="preserve"/>
      </w:r>
      <w:r>
        <w:rPr>
          <w:rFonts w:ascii="Consolas" w:cs="Consolas" w:eastAsia="Consolas" w:hAnsi="Consolas"/>
          <w:sz w:val="19"/>
          <w:szCs w:val="19"/>
        </w:rPr>
        <w:t xml:space="preserve">cls_pw</w:t>
      </w:r>
      <w:r>
        <w:t xml:space="preserve"> : pondère la loss de classification par classe selon l'inverse de fréquence des instances.</w:t>
      </w:r>
    </w:p>
    <w:p>
      <w:pPr>
        <w:pStyle w:val="ListParagraph"/>
        <w:numPr>
          <w:ilvl w:val="0"/>
          <w:numId w:val="2"/>
        </w:numPr>
        <w:spacing w:after="70"/>
      </w:pPr>
      <w:r>
        <w:t xml:space="preserve"/>
      </w:r>
      <w:r>
        <w:rPr>
          <w:rFonts w:ascii="Consolas" w:cs="Consolas" w:eastAsia="Consolas" w:hAnsi="Consolas"/>
          <w:sz w:val="19"/>
          <w:szCs w:val="19"/>
        </w:rPr>
        <w:t xml:space="preserve">mixup</w:t>
      </w:r>
      <w:r>
        <w:t xml:space="preserve"> : mélange deux images ENTIÈRES par fondu alpha (mécanisme différent de copy_paste) — risque de brouiller des masques déjà petits.</w:t>
      </w:r>
    </w:p>
    <w:p>
      <w:pPr>
        <w:pStyle w:val="ListParagraph"/>
        <w:numPr>
          <w:ilvl w:val="0"/>
          <w:numId w:val="2"/>
        </w:numPr>
        <w:spacing w:after="70"/>
      </w:pPr>
      <w:r>
        <w:t xml:space="preserve"/>
      </w:r>
      <w:r>
        <w:rPr>
          <w:rFonts w:ascii="Consolas" w:cs="Consolas" w:eastAsia="Consolas" w:hAnsi="Consolas"/>
          <w:sz w:val="19"/>
          <w:szCs w:val="19"/>
        </w:rPr>
        <w:t xml:space="preserve">overlap_mask</w:t>
      </w:r>
      <w:r>
        <w:t xml:space="preserve"> (False testé, True par défaut) : quand deux instances se chevauchent, True fusionne tous les masques en un seul canal (seul le plus grand objet reste appris au pixel de recouvrement) ; False donne un canal par instance, au prix d'une VRAM plus élevée.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300"/>
        <w:gridCol w:w="1300"/>
        <w:gridCol w:w="1600"/>
      </w:tblGrid>
      <w:tr>
        <w:trPr>
          <w:tblHeader/>
        </w:trPr>
        <w:tc>
          <w:tcPr>
            <w:tcW w:type="dxa" w:w="2400"/>
            <w:shd w:fill="1F5C4A" w:color="auto" w:val="clear"/>
            <w:tcMar>
              <w:top w:type="dxa" w:w="60"/>
              <w:left w:type="dxa" w:w="100"/>
              <w:bottom w:type="dxa" w:w="60"/>
              <w:right w:type="dxa" w:w="100"/>
            </w:tcMar>
          </w:tcPr>
          <w:p>
            <w:pPr>
              <w:jc w:val="left"/>
            </w:pPr>
            <w:r>
              <w:rPr>
                <w:b/>
                <w:bCs/>
                <w:sz w:val="19"/>
                <w:szCs w:val="19"/>
              </w:rPr>
              <w:t xml:space="preserve">Run</w:t>
            </w:r>
          </w:p>
        </w:tc>
        <w:tc>
          <w:tcPr>
            <w:tcW w:type="dxa" w:w="1200"/>
            <w:shd w:fill="1F5C4A" w:color="auto" w:val="clear"/>
            <w:tcMar>
              <w:top w:type="dxa" w:w="60"/>
              <w:left w:type="dxa" w:w="100"/>
              <w:bottom w:type="dxa" w:w="60"/>
              <w:right w:type="dxa" w:w="100"/>
            </w:tcMar>
          </w:tcPr>
          <w:p>
            <w:pPr>
              <w:jc w:val="left"/>
            </w:pPr>
            <w:r>
              <w:rPr>
                <w:b/>
                <w:bCs/>
                <w:sz w:val="19"/>
                <w:szCs w:val="19"/>
              </w:rPr>
              <w:t xml:space="preserve">ΔP macro</w:t>
            </w:r>
          </w:p>
        </w:tc>
        <w:tc>
          <w:tcPr>
            <w:tcW w:type="dxa" w:w="1200"/>
            <w:shd w:fill="1F5C4A" w:color="auto" w:val="clear"/>
            <w:tcMar>
              <w:top w:type="dxa" w:w="60"/>
              <w:left w:type="dxa" w:w="100"/>
              <w:bottom w:type="dxa" w:w="60"/>
              <w:right w:type="dxa" w:w="100"/>
            </w:tcMar>
          </w:tcPr>
          <w:p>
            <w:pPr>
              <w:jc w:val="left"/>
            </w:pPr>
            <w:r>
              <w:rPr>
                <w:b/>
                <w:bCs/>
                <w:sz w:val="19"/>
                <w:szCs w:val="19"/>
              </w:rPr>
              <w:t xml:space="preserve">ΔR macro</w:t>
            </w:r>
          </w:p>
        </w:tc>
        <w:tc>
          <w:tcPr>
            <w:tcW w:type="dxa" w:w="1300"/>
            <w:shd w:fill="1F5C4A" w:color="auto" w:val="clear"/>
            <w:tcMar>
              <w:top w:type="dxa" w:w="60"/>
              <w:left w:type="dxa" w:w="100"/>
              <w:bottom w:type="dxa" w:w="60"/>
              <w:right w:type="dxa" w:w="100"/>
            </w:tcMar>
          </w:tcPr>
          <w:p>
            <w:pPr>
              <w:jc w:val="left"/>
            </w:pPr>
            <w:r>
              <w:rPr>
                <w:b/>
                <w:bCs/>
                <w:sz w:val="19"/>
                <w:szCs w:val="19"/>
              </w:rPr>
              <w:t xml:space="preserve">ΔP globale</w:t>
            </w:r>
          </w:p>
        </w:tc>
        <w:tc>
          <w:tcPr>
            <w:tcW w:type="dxa" w:w="1300"/>
            <w:shd w:fill="1F5C4A" w:color="auto" w:val="clear"/>
            <w:tcMar>
              <w:top w:type="dxa" w:w="60"/>
              <w:left w:type="dxa" w:w="100"/>
              <w:bottom w:type="dxa" w:w="60"/>
              <w:right w:type="dxa" w:w="100"/>
            </w:tcMar>
          </w:tcPr>
          <w:p>
            <w:pPr>
              <w:jc w:val="left"/>
            </w:pPr>
            <w:r>
              <w:rPr>
                <w:b/>
                <w:bCs/>
                <w:sz w:val="19"/>
                <w:szCs w:val="19"/>
              </w:rPr>
              <w:t xml:space="preserve">ΔR globale</w:t>
            </w:r>
          </w:p>
        </w:tc>
        <w:tc>
          <w:tcPr>
            <w:tcW w:type="dxa" w:w="1600"/>
            <w:shd w:fill="1F5C4A" w:color="auto" w:val="clear"/>
            <w:tcMar>
              <w:top w:type="dxa" w:w="60"/>
              <w:left w:type="dxa" w:w="100"/>
              <w:bottom w:type="dxa" w:w="60"/>
              <w:right w:type="dxa" w:w="100"/>
            </w:tcMar>
          </w:tcPr>
          <w:p>
            <w:pPr>
              <w:jc w:val="left"/>
            </w:pPr>
            <w:r>
              <w:rPr>
                <w:b/>
                <w:bCs/>
                <w:sz w:val="19"/>
                <w:szCs w:val="19"/>
              </w:rPr>
              <w:t xml:space="preserve">ΔmAP50-95</w:t>
            </w:r>
          </w:p>
        </w:tc>
      </w:tr>
      <w:tr>
        <w:tc>
          <w:tcPr>
            <w:tcW w:type="dxa" w:w="2400"/>
            <w:tcMar>
              <w:top w:type="dxa" w:w="60"/>
              <w:left w:type="dxa" w:w="100"/>
              <w:bottom w:type="dxa" w:w="60"/>
              <w:right w:type="dxa" w:w="100"/>
            </w:tcMar>
          </w:tcPr>
          <w:p>
            <w:pPr>
              <w:jc w:val="left"/>
            </w:pPr>
            <w:r>
              <w:rPr>
                <w:b w:val="false"/>
                <w:bCs w:val="false"/>
                <w:sz w:val="19"/>
                <w:szCs w:val="19"/>
              </w:rPr>
              <w:t xml:space="preserve">copy_paste_flip05</w:t>
            </w:r>
          </w:p>
        </w:tc>
        <w:tc>
          <w:tcPr>
            <w:tcW w:type="dxa" w:w="1200"/>
            <w:tcMar>
              <w:top w:type="dxa" w:w="60"/>
              <w:left w:type="dxa" w:w="100"/>
              <w:bottom w:type="dxa" w:w="60"/>
              <w:right w:type="dxa" w:w="100"/>
            </w:tcMar>
          </w:tcPr>
          <w:p>
            <w:pPr>
              <w:jc w:val="left"/>
            </w:pPr>
            <w:r>
              <w:rPr>
                <w:b w:val="false"/>
                <w:bCs w:val="false"/>
                <w:sz w:val="19"/>
                <w:szCs w:val="19"/>
              </w:rPr>
              <w:t xml:space="preserve">-0,4pp</w:t>
            </w:r>
          </w:p>
        </w:tc>
        <w:tc>
          <w:tcPr>
            <w:tcW w:type="dxa" w:w="1200"/>
            <w:tcMar>
              <w:top w:type="dxa" w:w="60"/>
              <w:left w:type="dxa" w:w="100"/>
              <w:bottom w:type="dxa" w:w="60"/>
              <w:right w:type="dxa" w:w="100"/>
            </w:tcMar>
          </w:tcPr>
          <w:p>
            <w:pPr>
              <w:jc w:val="left"/>
            </w:pPr>
            <w:r>
              <w:rPr>
                <w:b w:val="false"/>
                <w:bCs w:val="false"/>
                <w:sz w:val="19"/>
                <w:szCs w:val="19"/>
              </w:rPr>
              <w:t xml:space="preserve">-3,8pp</w:t>
            </w:r>
          </w:p>
        </w:tc>
        <w:tc>
          <w:tcPr>
            <w:tcW w:type="dxa" w:w="1300"/>
            <w:tcMar>
              <w:top w:type="dxa" w:w="60"/>
              <w:left w:type="dxa" w:w="100"/>
              <w:bottom w:type="dxa" w:w="60"/>
              <w:right w:type="dxa" w:w="100"/>
            </w:tcMar>
          </w:tcPr>
          <w:p>
            <w:pPr>
              <w:jc w:val="left"/>
            </w:pPr>
            <w:r>
              <w:rPr>
                <w:b w:val="false"/>
                <w:bCs w:val="false"/>
                <w:sz w:val="19"/>
                <w:szCs w:val="19"/>
              </w:rPr>
              <w:t xml:space="preserve">-8,4pp</w:t>
            </w:r>
          </w:p>
        </w:tc>
        <w:tc>
          <w:tcPr>
            <w:tcW w:type="dxa" w:w="1300"/>
            <w:tcMar>
              <w:top w:type="dxa" w:w="60"/>
              <w:left w:type="dxa" w:w="100"/>
              <w:bottom w:type="dxa" w:w="60"/>
              <w:right w:type="dxa" w:w="100"/>
            </w:tcMar>
          </w:tcPr>
          <w:p>
            <w:pPr>
              <w:jc w:val="left"/>
            </w:pPr>
            <w:r>
              <w:rPr>
                <w:b w:val="false"/>
                <w:bCs w:val="false"/>
                <w:sz w:val="19"/>
                <w:szCs w:val="19"/>
              </w:rPr>
              <w:t xml:space="preserve">+0,8pp</w:t>
            </w:r>
          </w:p>
        </w:tc>
        <w:tc>
          <w:tcPr>
            <w:tcW w:type="dxa" w:w="1600"/>
            <w:tcMar>
              <w:top w:type="dxa" w:w="60"/>
              <w:left w:type="dxa" w:w="100"/>
              <w:bottom w:type="dxa" w:w="60"/>
              <w:right w:type="dxa" w:w="100"/>
            </w:tcMar>
          </w:tcPr>
          <w:p>
            <w:pPr>
              <w:jc w:val="left"/>
            </w:pPr>
            <w:r>
              <w:rPr>
                <w:b w:val="false"/>
                <w:bCs w:val="false"/>
                <w:sz w:val="19"/>
                <w:szCs w:val="19"/>
              </w:rPr>
              <w:t xml:space="preserve">-0,4pp</w:t>
            </w:r>
          </w:p>
        </w:tc>
      </w:tr>
      <w:tr>
        <w:tc>
          <w:tcPr>
            <w:tcW w:type="dxa" w:w="2400"/>
            <w:shd w:fill="EAF2EF" w:color="auto" w:val="clear"/>
            <w:tcMar>
              <w:top w:type="dxa" w:w="60"/>
              <w:left w:type="dxa" w:w="100"/>
              <w:bottom w:type="dxa" w:w="60"/>
              <w:right w:type="dxa" w:w="100"/>
            </w:tcMar>
          </w:tcPr>
          <w:p>
            <w:pPr>
              <w:jc w:val="left"/>
            </w:pPr>
            <w:r>
              <w:rPr>
                <w:b w:val="false"/>
                <w:bCs w:val="false"/>
                <w:sz w:val="19"/>
                <w:szCs w:val="19"/>
              </w:rPr>
              <w:t xml:space="preserve">cls_pw05</w:t>
            </w:r>
          </w:p>
        </w:tc>
        <w:tc>
          <w:tcPr>
            <w:tcW w:type="dxa" w:w="1200"/>
            <w:shd w:fill="EAF2EF" w:color="auto" w:val="clear"/>
            <w:tcMar>
              <w:top w:type="dxa" w:w="60"/>
              <w:left w:type="dxa" w:w="100"/>
              <w:bottom w:type="dxa" w:w="60"/>
              <w:right w:type="dxa" w:w="100"/>
            </w:tcMar>
          </w:tcPr>
          <w:p>
            <w:pPr>
              <w:jc w:val="left"/>
            </w:pPr>
            <w:r>
              <w:rPr>
                <w:b w:val="false"/>
                <w:bCs w:val="false"/>
                <w:sz w:val="19"/>
                <w:szCs w:val="19"/>
              </w:rPr>
              <w:t xml:space="preserve">+2,7pp</w:t>
            </w:r>
          </w:p>
        </w:tc>
        <w:tc>
          <w:tcPr>
            <w:tcW w:type="dxa" w:w="1200"/>
            <w:shd w:fill="EAF2EF" w:color="auto" w:val="clear"/>
            <w:tcMar>
              <w:top w:type="dxa" w:w="60"/>
              <w:left w:type="dxa" w:w="100"/>
              <w:bottom w:type="dxa" w:w="60"/>
              <w:right w:type="dxa" w:w="100"/>
            </w:tcMar>
          </w:tcPr>
          <w:p>
            <w:pPr>
              <w:jc w:val="left"/>
            </w:pPr>
            <w:r>
              <w:rPr>
                <w:b w:val="false"/>
                <w:bCs w:val="false"/>
                <w:sz w:val="19"/>
                <w:szCs w:val="19"/>
              </w:rPr>
              <w:t xml:space="preserve">-7,9pp</w:t>
            </w:r>
          </w:p>
        </w:tc>
        <w:tc>
          <w:tcPr>
            <w:tcW w:type="dxa" w:w="1300"/>
            <w:shd w:fill="EAF2EF" w:color="auto" w:val="clear"/>
            <w:tcMar>
              <w:top w:type="dxa" w:w="60"/>
              <w:left w:type="dxa" w:w="100"/>
              <w:bottom w:type="dxa" w:w="60"/>
              <w:right w:type="dxa" w:w="100"/>
            </w:tcMar>
          </w:tcPr>
          <w:p>
            <w:pPr>
              <w:jc w:val="left"/>
            </w:pPr>
            <w:r>
              <w:rPr>
                <w:b w:val="false"/>
                <w:bCs w:val="false"/>
                <w:sz w:val="19"/>
                <w:szCs w:val="19"/>
              </w:rPr>
              <w:t xml:space="preserve">+6,1pp</w:t>
            </w:r>
          </w:p>
        </w:tc>
        <w:tc>
          <w:tcPr>
            <w:tcW w:type="dxa" w:w="1300"/>
            <w:shd w:fill="EAF2EF" w:color="auto" w:val="clear"/>
            <w:tcMar>
              <w:top w:type="dxa" w:w="60"/>
              <w:left w:type="dxa" w:w="100"/>
              <w:bottom w:type="dxa" w:w="60"/>
              <w:right w:type="dxa" w:w="100"/>
            </w:tcMar>
          </w:tcPr>
          <w:p>
            <w:pPr>
              <w:jc w:val="left"/>
            </w:pPr>
            <w:r>
              <w:rPr>
                <w:b w:val="false"/>
                <w:bCs w:val="false"/>
                <w:sz w:val="19"/>
                <w:szCs w:val="19"/>
              </w:rPr>
              <w:t xml:space="preserve">-6,7pp</w:t>
            </w:r>
          </w:p>
        </w:tc>
        <w:tc>
          <w:tcPr>
            <w:tcW w:type="dxa" w:w="1600"/>
            <w:shd w:fill="EAF2EF" w:color="auto" w:val="clear"/>
            <w:tcMar>
              <w:top w:type="dxa" w:w="60"/>
              <w:left w:type="dxa" w:w="100"/>
              <w:bottom w:type="dxa" w:w="60"/>
              <w:right w:type="dxa" w:w="100"/>
            </w:tcMar>
          </w:tcPr>
          <w:p>
            <w:pPr>
              <w:jc w:val="left"/>
            </w:pPr>
            <w:r>
              <w:rPr>
                <w:b w:val="false"/>
                <w:bCs w:val="false"/>
                <w:sz w:val="19"/>
                <w:szCs w:val="19"/>
              </w:rPr>
              <w:t xml:space="preserve">-1,2pp</w:t>
            </w:r>
          </w:p>
        </w:tc>
      </w:tr>
      <w:tr>
        <w:tc>
          <w:tcPr>
            <w:tcW w:type="dxa" w:w="2400"/>
            <w:tcMar>
              <w:top w:type="dxa" w:w="60"/>
              <w:left w:type="dxa" w:w="100"/>
              <w:bottom w:type="dxa" w:w="60"/>
              <w:right w:type="dxa" w:w="100"/>
            </w:tcMar>
          </w:tcPr>
          <w:p>
            <w:pPr>
              <w:jc w:val="left"/>
            </w:pPr>
            <w:r>
              <w:rPr>
                <w:b w:val="false"/>
                <w:bCs w:val="false"/>
                <w:sz w:val="19"/>
                <w:szCs w:val="19"/>
              </w:rPr>
              <w:t xml:space="preserve">mixup01</w:t>
            </w:r>
          </w:p>
        </w:tc>
        <w:tc>
          <w:tcPr>
            <w:tcW w:type="dxa" w:w="1200"/>
            <w:tcMar>
              <w:top w:type="dxa" w:w="60"/>
              <w:left w:type="dxa" w:w="100"/>
              <w:bottom w:type="dxa" w:w="60"/>
              <w:right w:type="dxa" w:w="100"/>
            </w:tcMar>
          </w:tcPr>
          <w:p>
            <w:pPr>
              <w:jc w:val="left"/>
            </w:pPr>
            <w:r>
              <w:rPr>
                <w:b w:val="false"/>
                <w:bCs w:val="false"/>
                <w:sz w:val="19"/>
                <w:szCs w:val="19"/>
              </w:rPr>
              <w:t xml:space="preserve">+3,7pp</w:t>
            </w:r>
          </w:p>
        </w:tc>
        <w:tc>
          <w:tcPr>
            <w:tcW w:type="dxa" w:w="1200"/>
            <w:tcMar>
              <w:top w:type="dxa" w:w="60"/>
              <w:left w:type="dxa" w:w="100"/>
              <w:bottom w:type="dxa" w:w="60"/>
              <w:right w:type="dxa" w:w="100"/>
            </w:tcMar>
          </w:tcPr>
          <w:p>
            <w:pPr>
              <w:jc w:val="left"/>
            </w:pPr>
            <w:r>
              <w:rPr>
                <w:b w:val="false"/>
                <w:bCs w:val="false"/>
                <w:sz w:val="19"/>
                <w:szCs w:val="19"/>
              </w:rPr>
              <w:t xml:space="preserve">-3,2pp</w:t>
            </w:r>
          </w:p>
        </w:tc>
        <w:tc>
          <w:tcPr>
            <w:tcW w:type="dxa" w:w="1300"/>
            <w:tcMar>
              <w:top w:type="dxa" w:w="60"/>
              <w:left w:type="dxa" w:w="100"/>
              <w:bottom w:type="dxa" w:w="60"/>
              <w:right w:type="dxa" w:w="100"/>
            </w:tcMar>
          </w:tcPr>
          <w:p>
            <w:pPr>
              <w:jc w:val="left"/>
            </w:pPr>
            <w:r>
              <w:rPr>
                <w:b w:val="false"/>
                <w:bCs w:val="false"/>
                <w:sz w:val="19"/>
                <w:szCs w:val="19"/>
              </w:rPr>
              <w:t xml:space="preserve">+6,9pp</w:t>
            </w:r>
          </w:p>
        </w:tc>
        <w:tc>
          <w:tcPr>
            <w:tcW w:type="dxa" w:w="1300"/>
            <w:tcMar>
              <w:top w:type="dxa" w:w="60"/>
              <w:left w:type="dxa" w:w="100"/>
              <w:bottom w:type="dxa" w:w="60"/>
              <w:right w:type="dxa" w:w="100"/>
            </w:tcMar>
          </w:tcPr>
          <w:p>
            <w:pPr>
              <w:jc w:val="left"/>
            </w:pPr>
            <w:r>
              <w:rPr>
                <w:b w:val="false"/>
                <w:bCs w:val="false"/>
                <w:sz w:val="19"/>
                <w:szCs w:val="19"/>
              </w:rPr>
              <w:t xml:space="preserve">-6,9pp</w:t>
            </w:r>
          </w:p>
        </w:tc>
        <w:tc>
          <w:tcPr>
            <w:tcW w:type="dxa" w:w="1600"/>
            <w:tcMar>
              <w:top w:type="dxa" w:w="60"/>
              <w:left w:type="dxa" w:w="100"/>
              <w:bottom w:type="dxa" w:w="60"/>
              <w:right w:type="dxa" w:w="100"/>
            </w:tcMar>
          </w:tcPr>
          <w:p>
            <w:pPr>
              <w:jc w:val="left"/>
            </w:pPr>
            <w:r>
              <w:rPr>
                <w:b w:val="false"/>
                <w:bCs w:val="false"/>
                <w:sz w:val="19"/>
                <w:szCs w:val="19"/>
              </w:rPr>
              <w:t xml:space="preserve">+1,6pp</w:t>
            </w:r>
          </w:p>
        </w:tc>
      </w:tr>
      <w:tr>
        <w:tc>
          <w:tcPr>
            <w:tcW w:type="dxa" w:w="2400"/>
            <w:shd w:fill="EAF2EF" w:color="auto" w:val="clear"/>
            <w:tcMar>
              <w:top w:type="dxa" w:w="60"/>
              <w:left w:type="dxa" w:w="100"/>
              <w:bottom w:type="dxa" w:w="60"/>
              <w:right w:type="dxa" w:w="100"/>
            </w:tcMar>
          </w:tcPr>
          <w:p>
            <w:pPr>
              <w:jc w:val="left"/>
            </w:pPr>
            <w:r>
              <w:rPr>
                <w:b w:val="false"/>
                <w:bCs w:val="false"/>
                <w:sz w:val="19"/>
                <w:szCs w:val="19"/>
              </w:rPr>
              <w:t xml:space="preserve">overlap_mask_off</w:t>
            </w:r>
          </w:p>
        </w:tc>
        <w:tc>
          <w:tcPr>
            <w:tcW w:type="dxa" w:w="1200"/>
            <w:shd w:fill="EAF2EF" w:color="auto" w:val="clear"/>
            <w:tcMar>
              <w:top w:type="dxa" w:w="60"/>
              <w:left w:type="dxa" w:w="100"/>
              <w:bottom w:type="dxa" w:w="60"/>
              <w:right w:type="dxa" w:w="100"/>
            </w:tcMar>
          </w:tcPr>
          <w:p>
            <w:pPr>
              <w:jc w:val="left"/>
            </w:pPr>
            <w:r>
              <w:rPr>
                <w:b w:val="false"/>
                <w:bCs w:val="false"/>
                <w:sz w:val="19"/>
                <w:szCs w:val="19"/>
              </w:rPr>
              <w:t xml:space="preserve">-3,9pp</w:t>
            </w:r>
          </w:p>
        </w:tc>
        <w:tc>
          <w:tcPr>
            <w:tcW w:type="dxa" w:w="1200"/>
            <w:shd w:fill="EAF2EF" w:color="auto" w:val="clear"/>
            <w:tcMar>
              <w:top w:type="dxa" w:w="60"/>
              <w:left w:type="dxa" w:w="100"/>
              <w:bottom w:type="dxa" w:w="60"/>
              <w:right w:type="dxa" w:w="100"/>
            </w:tcMar>
          </w:tcPr>
          <w:p>
            <w:pPr>
              <w:jc w:val="left"/>
            </w:pPr>
            <w:r>
              <w:rPr>
                <w:b w:val="false"/>
                <w:bCs w:val="false"/>
                <w:sz w:val="19"/>
                <w:szCs w:val="19"/>
              </w:rPr>
              <w:t xml:space="preserve">-0,9pp</w:t>
            </w:r>
          </w:p>
        </w:tc>
        <w:tc>
          <w:tcPr>
            <w:tcW w:type="dxa" w:w="1300"/>
            <w:shd w:fill="EAF2EF" w:color="auto" w:val="clear"/>
            <w:tcMar>
              <w:top w:type="dxa" w:w="60"/>
              <w:left w:type="dxa" w:w="100"/>
              <w:bottom w:type="dxa" w:w="60"/>
              <w:right w:type="dxa" w:w="100"/>
            </w:tcMar>
          </w:tcPr>
          <w:p>
            <w:pPr>
              <w:jc w:val="left"/>
            </w:pPr>
            <w:r>
              <w:rPr>
                <w:b w:val="false"/>
                <w:bCs w:val="false"/>
                <w:sz w:val="19"/>
                <w:szCs w:val="19"/>
              </w:rPr>
              <w:t xml:space="preserve">-6,9pp</w:t>
            </w:r>
          </w:p>
        </w:tc>
        <w:tc>
          <w:tcPr>
            <w:tcW w:type="dxa" w:w="1300"/>
            <w:shd w:fill="EAF2EF" w:color="auto" w:val="clear"/>
            <w:tcMar>
              <w:top w:type="dxa" w:w="60"/>
              <w:left w:type="dxa" w:w="100"/>
              <w:bottom w:type="dxa" w:w="60"/>
              <w:right w:type="dxa" w:w="100"/>
            </w:tcMar>
          </w:tcPr>
          <w:p>
            <w:pPr>
              <w:jc w:val="left"/>
            </w:pPr>
            <w:r>
              <w:rPr>
                <w:b w:val="false"/>
                <w:bCs w:val="false"/>
                <w:sz w:val="19"/>
                <w:szCs w:val="19"/>
              </w:rPr>
              <w:t xml:space="preserve">+1,6pp</w:t>
            </w:r>
          </w:p>
        </w:tc>
        <w:tc>
          <w:tcPr>
            <w:tcW w:type="dxa" w:w="1600"/>
            <w:shd w:fill="EAF2EF" w:color="auto" w:val="clear"/>
            <w:tcMar>
              <w:top w:type="dxa" w:w="60"/>
              <w:left w:type="dxa" w:w="100"/>
              <w:bottom w:type="dxa" w:w="60"/>
              <w:right w:type="dxa" w:w="100"/>
            </w:tcMar>
          </w:tcPr>
          <w:p>
            <w:pPr>
              <w:jc w:val="left"/>
            </w:pPr>
            <w:r>
              <w:rPr>
                <w:b w:val="false"/>
                <w:bCs w:val="false"/>
                <w:sz w:val="19"/>
                <w:szCs w:val="19"/>
              </w:rPr>
              <w:t xml:space="preserve">-3,1pp</w:t>
            </w:r>
          </w:p>
        </w:tc>
      </w:tr>
    </w:tbl>
    <w:p>
      <w:pPr>
        <w:spacing w:after="160" w:before="60"/>
      </w:pPr>
      <w:r>
        <w:rPr>
          <w:i/>
          <w:iCs/>
          <w:color w:val="555555"/>
          <w:sz w:val="17"/>
          <w:szCs w:val="17"/>
        </w:rPr>
        <w:t xml:space="preserve">Écart par rapport à ref_split_corrige, test set, même fingerprint de dataset pour les 5 runs. Source : compare_runs.py.</w:t>
      </w:r>
    </w:p>
    <w:p>
      <w:pPr>
        <w:pStyle w:val="ListParagraph"/>
        <w:numPr>
          <w:ilvl w:val="0"/>
          <w:numId w:val="2"/>
        </w:numPr>
        <w:spacing w:after="70"/>
      </w:pPr>
      <w:r>
        <w:t xml:space="preserve">Verdict : aucun des quatre leviers ne bat la référence sur précision ET rappel à la fois — tous restent DÉSACTIVÉS dans train.py, documentés « question ouverte » en commentaire (jamais un choix silencieux).</w:t>
      </w:r>
    </w:p>
    <w:p>
      <w:pPr>
        <w:pStyle w:val="ListParagraph"/>
        <w:numPr>
          <w:ilvl w:val="0"/>
          <w:numId w:val="2"/>
        </w:numPr>
        <w:spacing w:after="70"/>
      </w:pPr>
      <w:r>
        <w:t xml:space="preserve">copy_paste_flip05 se distingue par un profil différent (rappel globalement préservé mais précision globale nettement dégradée, -8,4pp) ; cls_pw05 et mixup01 échangent tous deux du rappel contre de la précision — direction inverse de la priorité du projet (rattraper des détections manquées en zone dense, un problème de rappel).</w:t>
      </w:r>
    </w:p>
    <w:p>
      <w:pPr>
        <w:spacing w:after="60" w:before="160"/>
      </w:pPr>
      <w:r>
        <w:rPr>
          <w:b/>
          <w:bCs/>
          <w:i/>
          <w:iCs/>
          <w:sz w:val="21"/>
          <w:szCs w:val="21"/>
        </w:rPr>
        <w:t xml:space="preserve">Zoom : overlap_mask_off</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3800"/>
      </w:tblGrid>
      <w:tr>
        <w:trPr>
          <w:tblHeader/>
        </w:trPr>
        <w:tc>
          <w:tcPr>
            <w:tcW w:type="dxa" w:w="2200"/>
            <w:shd w:fill="1F5C4A" w:color="auto" w:val="clear"/>
            <w:tcMar>
              <w:top w:type="dxa" w:w="60"/>
              <w:left w:type="dxa" w:w="100"/>
              <w:bottom w:type="dxa" w:w="60"/>
              <w:right w:type="dxa" w:w="100"/>
            </w:tcMar>
          </w:tcPr>
          <w:p>
            <w:pPr>
              <w:jc w:val="left"/>
            </w:pPr>
            <w:r>
              <w:rPr>
                <w:b/>
                <w:bCs/>
                <w:sz w:val="19"/>
                <w:szCs w:val="19"/>
              </w:rPr>
              <w:t xml:space="preserve">Indicateur</w:t>
            </w:r>
          </w:p>
        </w:tc>
        <w:tc>
          <w:tcPr>
            <w:tcW w:type="dxa" w:w="1400"/>
            <w:shd w:fill="1F5C4A" w:color="auto" w:val="clear"/>
            <w:tcMar>
              <w:top w:type="dxa" w:w="60"/>
              <w:left w:type="dxa" w:w="100"/>
              <w:bottom w:type="dxa" w:w="60"/>
              <w:right w:type="dxa" w:w="100"/>
            </w:tcMar>
          </w:tcPr>
          <w:p>
            <w:pPr>
              <w:jc w:val="left"/>
            </w:pPr>
            <w:r>
              <w:rPr>
                <w:b/>
                <w:bCs/>
                <w:sz w:val="19"/>
                <w:szCs w:val="19"/>
              </w:rPr>
              <w:t xml:space="preserve">Test général</w:t>
            </w:r>
          </w:p>
        </w:tc>
        <w:tc>
          <w:tcPr>
            <w:tcW w:type="dxa" w:w="1400"/>
            <w:shd w:fill="1F5C4A" w:color="auto" w:val="clear"/>
            <w:tcMar>
              <w:top w:type="dxa" w:w="60"/>
              <w:left w:type="dxa" w:w="100"/>
              <w:bottom w:type="dxa" w:w="60"/>
              <w:right w:type="dxa" w:w="100"/>
            </w:tcMar>
          </w:tcPr>
          <w:p>
            <w:pPr>
              <w:jc w:val="left"/>
            </w:pPr>
            <w:r>
              <w:rPr>
                <w:b/>
                <w:bCs/>
                <w:sz w:val="19"/>
                <w:szCs w:val="19"/>
              </w:rPr>
              <w:t xml:space="preserve">Santa Luzia</w:t>
            </w:r>
          </w:p>
        </w:tc>
        <w:tc>
          <w:tcPr>
            <w:tcW w:type="dxa" w:w="3800"/>
            <w:shd w:fill="1F5C4A" w:color="auto" w:val="clear"/>
            <w:tcMar>
              <w:top w:type="dxa" w:w="60"/>
              <w:left w:type="dxa" w:w="100"/>
              <w:bottom w:type="dxa" w:w="60"/>
              <w:right w:type="dxa" w:w="100"/>
            </w:tcMar>
          </w:tcPr>
          <w:p>
            <w:pPr>
              <w:jc w:val="left"/>
            </w:pPr>
            <w:r>
              <w:rPr>
                <w:b/>
                <w:bCs/>
                <w:sz w:val="19"/>
                <w:szCs w:val="19"/>
              </w:rPr>
              <w:t xml:space="preserve">Lecture</w:t>
            </w:r>
          </w:p>
        </w:tc>
      </w:tr>
      <w:tr>
        <w:tc>
          <w:tcPr>
            <w:tcW w:type="dxa" w:w="2200"/>
            <w:tcMar>
              <w:top w:type="dxa" w:w="60"/>
              <w:left w:type="dxa" w:w="100"/>
              <w:bottom w:type="dxa" w:w="60"/>
              <w:right w:type="dxa" w:w="100"/>
            </w:tcMar>
          </w:tcPr>
          <w:p>
            <w:pPr>
              <w:jc w:val="left"/>
            </w:pPr>
            <w:r>
              <w:rPr>
                <w:b w:val="false"/>
                <w:bCs w:val="false"/>
                <w:sz w:val="19"/>
                <w:szCs w:val="19"/>
              </w:rPr>
              <w:t xml:space="preserve">Debris_Divers (rappel)</w:t>
            </w:r>
          </w:p>
        </w:tc>
        <w:tc>
          <w:tcPr>
            <w:tcW w:type="dxa" w:w="1400"/>
            <w:tcMar>
              <w:top w:type="dxa" w:w="60"/>
              <w:left w:type="dxa" w:w="100"/>
              <w:bottom w:type="dxa" w:w="60"/>
              <w:right w:type="dxa" w:w="100"/>
            </w:tcMar>
          </w:tcPr>
          <w:p>
            <w:pPr>
              <w:jc w:val="left"/>
            </w:pPr>
            <w:r>
              <w:rPr>
                <w:b w:val="false"/>
                <w:bCs w:val="false"/>
                <w:sz w:val="19"/>
                <w:szCs w:val="19"/>
              </w:rPr>
              <w:t xml:space="preserve">+6,1pp</w:t>
            </w:r>
          </w:p>
        </w:tc>
        <w:tc>
          <w:tcPr>
            <w:tcW w:type="dxa" w:w="1400"/>
            <w:tcMar>
              <w:top w:type="dxa" w:w="60"/>
              <w:left w:type="dxa" w:w="100"/>
              <w:bottom w:type="dxa" w:w="60"/>
              <w:right w:type="dxa" w:w="100"/>
            </w:tcMar>
          </w:tcPr>
          <w:p>
            <w:pPr>
              <w:jc w:val="left"/>
            </w:pPr>
            <w:r>
              <w:rPr>
                <w:b w:val="false"/>
                <w:bCs w:val="false"/>
                <w:sz w:val="19"/>
                <w:szCs w:val="19"/>
              </w:rPr>
              <w:t xml:space="preserve">+13,9pp</w:t>
            </w:r>
          </w:p>
        </w:tc>
        <w:tc>
          <w:tcPr>
            <w:tcW w:type="dxa" w:w="3800"/>
            <w:tcMar>
              <w:top w:type="dxa" w:w="60"/>
              <w:left w:type="dxa" w:w="100"/>
              <w:bottom w:type="dxa" w:w="60"/>
              <w:right w:type="dxa" w:w="100"/>
            </w:tcMar>
          </w:tcPr>
          <w:p>
            <w:pPr>
              <w:jc w:val="left"/>
            </w:pPr>
            <w:r>
              <w:rPr>
                <w:b w:val="false"/>
                <w:bCs w:val="false"/>
                <w:sz w:val="19"/>
                <w:szCs w:val="19"/>
              </w:rPr>
              <w:t xml:space="preserve">Cohérent — classe qui s'accumule/se chevauche</w:t>
            </w:r>
          </w:p>
        </w:tc>
      </w:tr>
      <w:tr>
        <w:tc>
          <w:tcPr>
            <w:tcW w:type="dxa" w:w="2200"/>
            <w:shd w:fill="EAF2EF" w:color="auto" w:val="clear"/>
            <w:tcMar>
              <w:top w:type="dxa" w:w="60"/>
              <w:left w:type="dxa" w:w="100"/>
              <w:bottom w:type="dxa" w:w="60"/>
              <w:right w:type="dxa" w:w="100"/>
            </w:tcMar>
          </w:tcPr>
          <w:p>
            <w:pPr>
              <w:jc w:val="left"/>
            </w:pPr>
            <w:r>
              <w:rPr>
                <w:b w:val="false"/>
                <w:bCs w:val="false"/>
                <w:sz w:val="19"/>
                <w:szCs w:val="19"/>
              </w:rPr>
              <w:t xml:space="preserve">Cordage_Filet (rappel)</w:t>
            </w:r>
          </w:p>
        </w:tc>
        <w:tc>
          <w:tcPr>
            <w:tcW w:type="dxa" w:w="1400"/>
            <w:shd w:fill="EAF2EF" w:color="auto" w:val="clear"/>
            <w:tcMar>
              <w:top w:type="dxa" w:w="60"/>
              <w:left w:type="dxa" w:w="100"/>
              <w:bottom w:type="dxa" w:w="60"/>
              <w:right w:type="dxa" w:w="100"/>
            </w:tcMar>
          </w:tcPr>
          <w:p>
            <w:pPr>
              <w:jc w:val="left"/>
            </w:pPr>
            <w:r>
              <w:rPr>
                <w:b w:val="false"/>
                <w:bCs w:val="false"/>
                <w:sz w:val="19"/>
                <w:szCs w:val="19"/>
              </w:rPr>
              <w:t xml:space="preserve">+2,1pp</w:t>
            </w:r>
          </w:p>
        </w:tc>
        <w:tc>
          <w:tcPr>
            <w:tcW w:type="dxa" w:w="1400"/>
            <w:shd w:fill="EAF2EF" w:color="auto" w:val="clear"/>
            <w:tcMar>
              <w:top w:type="dxa" w:w="60"/>
              <w:left w:type="dxa" w:w="100"/>
              <w:bottom w:type="dxa" w:w="60"/>
              <w:right w:type="dxa" w:w="100"/>
            </w:tcMar>
          </w:tcPr>
          <w:p>
            <w:pPr>
              <w:jc w:val="left"/>
            </w:pPr>
            <w:r>
              <w:rPr>
                <w:b w:val="false"/>
                <w:bCs w:val="false"/>
                <w:sz w:val="19"/>
                <w:szCs w:val="19"/>
              </w:rPr>
              <w:t xml:space="preserve">+5,9pp</w:t>
            </w:r>
          </w:p>
        </w:tc>
        <w:tc>
          <w:tcPr>
            <w:tcW w:type="dxa" w:w="3800"/>
            <w:shd w:fill="EAF2EF" w:color="auto" w:val="clear"/>
            <w:tcMar>
              <w:top w:type="dxa" w:w="60"/>
              <w:left w:type="dxa" w:w="100"/>
              <w:bottom w:type="dxa" w:w="60"/>
              <w:right w:type="dxa" w:w="100"/>
            </w:tcMar>
          </w:tcPr>
          <w:p>
            <w:pPr>
              <w:jc w:val="left"/>
            </w:pPr>
            <w:r>
              <w:rPr>
                <w:b w:val="false"/>
                <w:bCs w:val="false"/>
                <w:sz w:val="19"/>
                <w:szCs w:val="19"/>
              </w:rPr>
              <w:t xml:space="preserve">Cohérent — classe qui s'entortille/se chevauche</w:t>
            </w:r>
          </w:p>
        </w:tc>
      </w:tr>
      <w:tr>
        <w:tc>
          <w:tcPr>
            <w:tcW w:type="dxa" w:w="2200"/>
            <w:tcMar>
              <w:top w:type="dxa" w:w="60"/>
              <w:left w:type="dxa" w:w="100"/>
              <w:bottom w:type="dxa" w:w="60"/>
              <w:right w:type="dxa" w:w="100"/>
            </w:tcMar>
          </w:tcPr>
          <w:p>
            <w:pPr>
              <w:jc w:val="left"/>
            </w:pPr>
            <w:r>
              <w:rPr>
                <w:b w:val="false"/>
                <w:bCs w:val="false"/>
                <w:sz w:val="19"/>
                <w:szCs w:val="19"/>
              </w:rPr>
              <w:t xml:space="preserve">Bidon (rappel)</w:t>
            </w:r>
          </w:p>
        </w:tc>
        <w:tc>
          <w:tcPr>
            <w:tcW w:type="dxa" w:w="1400"/>
            <w:tcMar>
              <w:top w:type="dxa" w:w="60"/>
              <w:left w:type="dxa" w:w="100"/>
              <w:bottom w:type="dxa" w:w="60"/>
              <w:right w:type="dxa" w:w="100"/>
            </w:tcMar>
          </w:tcPr>
          <w:p>
            <w:pPr>
              <w:jc w:val="left"/>
            </w:pPr>
            <w:r>
              <w:rPr>
                <w:b w:val="false"/>
                <w:bCs w:val="false"/>
                <w:sz w:val="19"/>
                <w:szCs w:val="19"/>
              </w:rPr>
              <w:t xml:space="preserve">-10,0pp</w:t>
            </w:r>
          </w:p>
        </w:tc>
        <w:tc>
          <w:tcPr>
            <w:tcW w:type="dxa" w:w="1400"/>
            <w:tcMar>
              <w:top w:type="dxa" w:w="60"/>
              <w:left w:type="dxa" w:w="100"/>
              <w:bottom w:type="dxa" w:w="60"/>
              <w:right w:type="dxa" w:w="100"/>
            </w:tcMar>
          </w:tcPr>
          <w:p>
            <w:pPr>
              <w:jc w:val="left"/>
            </w:pPr>
            <w:r>
              <w:rPr>
                <w:b w:val="false"/>
                <w:bCs w:val="false"/>
                <w:sz w:val="19"/>
                <w:szCs w:val="19"/>
              </w:rPr>
              <w:t xml:space="preserve">-8,7pp</w:t>
            </w:r>
          </w:p>
        </w:tc>
        <w:tc>
          <w:tcPr>
            <w:tcW w:type="dxa" w:w="3800"/>
            <w:tcMar>
              <w:top w:type="dxa" w:w="60"/>
              <w:left w:type="dxa" w:w="100"/>
              <w:bottom w:type="dxa" w:w="60"/>
              <w:right w:type="dxa" w:w="100"/>
            </w:tcMar>
          </w:tcPr>
          <w:p>
            <w:pPr>
              <w:jc w:val="left"/>
            </w:pPr>
            <w:r>
              <w:rPr>
                <w:b w:val="false"/>
                <w:bCs w:val="false"/>
                <w:sz w:val="19"/>
                <w:szCs w:val="19"/>
              </w:rPr>
              <w:t xml:space="preserve">Ne colle pas à l'hypothèse chevauchement</w:t>
            </w:r>
          </w:p>
        </w:tc>
      </w:tr>
      <w:tr>
        <w:tc>
          <w:tcPr>
            <w:tcW w:type="dxa" w:w="2200"/>
            <w:shd w:fill="EAF2EF" w:color="auto" w:val="clear"/>
            <w:tcMar>
              <w:top w:type="dxa" w:w="60"/>
              <w:left w:type="dxa" w:w="100"/>
              <w:bottom w:type="dxa" w:w="60"/>
              <w:right w:type="dxa" w:w="100"/>
            </w:tcMar>
          </w:tcPr>
          <w:p>
            <w:pPr>
              <w:jc w:val="left"/>
            </w:pPr>
            <w:r>
              <w:rPr>
                <w:b w:val="false"/>
                <w:bCs w:val="false"/>
                <w:sz w:val="19"/>
                <w:szCs w:val="19"/>
              </w:rPr>
              <w:t xml:space="preserve">Macro précision (global)</w:t>
            </w:r>
          </w:p>
        </w:tc>
        <w:tc>
          <w:tcPr>
            <w:tcW w:type="dxa" w:w="1400"/>
            <w:shd w:fill="EAF2EF" w:color="auto" w:val="clear"/>
            <w:tcMar>
              <w:top w:type="dxa" w:w="60"/>
              <w:left w:type="dxa" w:w="100"/>
              <w:bottom w:type="dxa" w:w="60"/>
              <w:right w:type="dxa" w:w="100"/>
            </w:tcMar>
          </w:tcPr>
          <w:p>
            <w:pPr>
              <w:jc w:val="left"/>
            </w:pPr>
            <w:r>
              <w:rPr>
                <w:b w:val="false"/>
                <w:bCs w:val="false"/>
                <w:sz w:val="19"/>
                <w:szCs w:val="19"/>
              </w:rPr>
              <w:t xml:space="preserve">-3,9pp</w:t>
            </w:r>
          </w:p>
        </w:tc>
        <w:tc>
          <w:tcPr>
            <w:tcW w:type="dxa" w:w="1400"/>
            <w:shd w:fill="EAF2EF" w:color="auto" w:val="clear"/>
            <w:tcMar>
              <w:top w:type="dxa" w:w="60"/>
              <w:left w:type="dxa" w:w="100"/>
              <w:bottom w:type="dxa" w:w="60"/>
              <w:right w:type="dxa" w:w="100"/>
            </w:tcMar>
          </w:tcPr>
          <w:p>
            <w:pPr>
              <w:jc w:val="left"/>
            </w:pPr>
            <w:r>
              <w:rPr>
                <w:b w:val="false"/>
                <w:bCs w:val="false"/>
                <w:sz w:val="19"/>
                <w:szCs w:val="19"/>
              </w:rPr>
              <w:t xml:space="preserve">-20,5pp</w:t>
            </w:r>
          </w:p>
        </w:tc>
        <w:tc>
          <w:tcPr>
            <w:tcW w:type="dxa" w:w="3800"/>
            <w:shd w:fill="EAF2EF" w:color="auto" w:val="clear"/>
            <w:tcMar>
              <w:top w:type="dxa" w:w="60"/>
              <w:left w:type="dxa" w:w="100"/>
              <w:bottom w:type="dxa" w:w="60"/>
              <w:right w:type="dxa" w:w="100"/>
            </w:tcMar>
          </w:tcPr>
          <w:p>
            <w:pPr>
              <w:jc w:val="left"/>
            </w:pPr>
            <w:r>
              <w:rPr>
                <w:b w:val="false"/>
                <w:bCs w:val="false"/>
                <w:sz w:val="19"/>
                <w:szCs w:val="19"/>
              </w:rPr>
              <w:t xml:space="preserve">Coût concentré sur Santa Luzia</w:t>
            </w:r>
          </w:p>
        </w:tc>
      </w:tr>
    </w:tbl>
    <w:p>
      <w:pPr>
        <w:spacing w:after="160" w:before="60"/>
      </w:pPr>
      <w:r>
        <w:rPr>
          <w:i/>
          <w:iCs/>
          <w:color w:val="555555"/>
          <w:sz w:val="17"/>
          <w:szCs w:val="17"/>
        </w:rPr>
        <w:t xml:space="preserve">overlap_mask_off contre ref_split_corrige, mêmes images de test filtrées par site (scoped_report.py --batch-filter SL).</w:t>
      </w:r>
    </w:p>
    <w:p>
      <w:pPr>
        <w:pStyle w:val="ListParagraph"/>
        <w:numPr>
          <w:ilvl w:val="0"/>
          <w:numId w:val="2"/>
        </w:numPr>
        <w:spacing w:after="70"/>
      </w:pPr>
      <w:r>
        <w:t xml:space="preserve">Effet réel et dans la direction attendue sur les classes qui s'accumulent/s'entortillent, mais coût en précision large qui touche aussi des classes non expliquées par ce mécanisme (Bidon) — net global proche de zéro à légèrement négatif : pas assez propre pour l'adopter comme nouveau défaut en l'état.</w:t>
      </w:r>
    </w:p>
    <w:p>
      <w:pPr>
        <w:spacing w:after="60" w:before="160"/>
      </w:pPr>
      <w:r>
        <w:rPr>
          <w:b/>
          <w:bCs/>
          <w:i/>
          <w:iCs/>
          <w:sz w:val="21"/>
          <w:szCs w:val="21"/>
        </w:rPr>
        <w:t xml:space="preserve">Revue de littérature (aucune méthode « standard » établie pour ce cas d'usage)</w:t>
      </w:r>
    </w:p>
    <w:p>
      <w:pPr>
        <w:pStyle w:val="ListParagraph"/>
        <w:numPr>
          <w:ilvl w:val="0"/>
          <w:numId w:val="2"/>
        </w:numPr>
        <w:spacing w:after="70"/>
      </w:pPr>
      <w:r>
        <w:t xml:space="preserve">[1] Sur détecteur mono-étage (même famille que YOLO11n-seg), rééchantillonnage et repondération de loss n'apportent pas de gain net (contrairement aux détecteurs deux-étages) — explique a posteriori pourquoi cls_pw n'a montré aucun gain net ici.</w:t>
      </w:r>
    </w:p>
    <w:p>
      <w:pPr>
        <w:pStyle w:val="ListParagraph"/>
        <w:numPr>
          <w:ilvl w:val="0"/>
          <w:numId w:val="2"/>
        </w:numPr>
        <w:spacing w:after="70"/>
      </w:pPr>
      <w:r>
        <w:t xml:space="preserve">[2] E-IRFS : pondère la fréquence de TIRAGE des images rares (pas seulement leur contenu, contrairement à copy_paste flip) — +350% relatif rapporté sur la classe la plus rare d'un dataset UAV. Non natif Ultralytics.</w:t>
      </w:r>
    </w:p>
    <w:p>
      <w:pPr>
        <w:pStyle w:val="ListParagraph"/>
        <w:numPr>
          <w:ilvl w:val="0"/>
          <w:numId w:val="2"/>
        </w:numPr>
        <w:spacing w:after="70"/>
      </w:pPr>
      <w:r>
        <w:t xml:space="preserve">[3] AD-Det : copy-paste ciblé par classe rare combiné à un collage dans les zones denses détectées — répondrait au rééquilibrage ET à l'accumulation dense. Réimplémentation complète nécessaire.</w:t>
      </w:r>
    </w:p>
    <w:p>
      <w:pPr>
        <w:pStyle w:val="ListParagraph"/>
        <w:numPr>
          <w:ilvl w:val="0"/>
          <w:numId w:val="2"/>
        </w:numPr>
        <w:spacing w:after="70"/>
      </w:pPr>
      <w:r>
        <w:t xml:space="preserve">[4] Class-Balanced Loss : pondère par un nombre effectif d'échantillons plutôt que le compte brut — alternative plus principielle à cls_pw.</w:t>
      </w:r>
    </w:p>
    <w:p>
      <w:pPr>
        <w:pStyle w:val="ListParagraph"/>
        <w:numPr>
          <w:ilvl w:val="0"/>
          <w:numId w:val="2"/>
        </w:numPr>
        <w:spacing w:after="70"/>
      </w:pPr>
      <w:r>
        <w:t xml:space="preserve">[5] Seesaw / Equalization Loss (LVIS) : piste identifiée, non approfondie.</w:t>
      </w:r>
    </w:p>
    <w:p>
      <w:pPr>
        <w:pStyle w:val="ListParagraph"/>
        <w:numPr>
          <w:ilvl w:val="0"/>
          <w:numId w:val="2"/>
        </w:numPr>
        <w:spacing w:after="70"/>
      </w:pPr>
      <w:r>
        <w:t xml:space="preserve">[6] Focal Loss / VarifocalLoss : existe comme code mort dans </w:t>
      </w:r>
      <w:r>
        <w:rPr>
          <w:rFonts w:ascii="Consolas" w:cs="Consolas" w:eastAsia="Consolas" w:hAnsi="Consolas"/>
          <w:sz w:val="19"/>
          <w:szCs w:val="19"/>
        </w:rPr>
        <w:t xml:space="preserve">ultralytics/utils/loss.py</w:t>
      </w:r>
      <w:r>
        <w:t xml:space="preserve"> (jamais instanciée, non exposée à model.train()) — nécessiterait de sous-classer v8SegmentationLoss.</w:t>
      </w:r>
    </w:p>
    <w:p>
      <w:pPr>
        <w:pStyle w:val="Heading2"/>
        <w:spacing w:after="100" w:before="260"/>
      </w:pPr>
      <w:r>
        <w:t xml:space="preserve">Points ouverts</w:t>
      </w:r>
    </w:p>
    <w:p>
      <w:pPr>
        <w:pStyle w:val="ListParagraph"/>
        <w:numPr>
          <w:ilvl w:val="0"/>
          <w:numId w:val="2"/>
        </w:numPr>
        <w:spacing w:after="70"/>
      </w:pPr>
      <w:r>
        <w:t xml:space="preserve">Oversampling VRAIMENT ciblé (répétition contrôlée d'images contenant une classe rare précise, ex. Bouee) — différé, pas abandonné : copy_paste seul n'accomplit pas ça (outil d'augmentation générique, pas un mécanisme de rééquilibrage ciblé).</w:t>
      </w:r>
    </w:p>
    <w:p>
      <w:pPr>
        <w:pStyle w:val="ListParagraph"/>
        <w:numPr>
          <w:ilvl w:val="0"/>
          <w:numId w:val="2"/>
        </w:numPr>
        <w:spacing w:after="70"/>
      </w:pPr>
      <w:r>
        <w:t xml:space="preserve">overlap_mask_off : à examiner visuellement (</w:t>
      </w:r>
      <w:r>
        <w:rPr>
          <w:rFonts w:ascii="Consolas" w:cs="Consolas" w:eastAsia="Consolas" w:hAnsi="Consolas"/>
          <w:sz w:val="19"/>
          <w:szCs w:val="19"/>
        </w:rPr>
        <w:t xml:space="preserve">visualize_predictions.py --scope test</w:t>
      </w:r>
      <w:r>
        <w:t xml:space="preserve"> sur des tuiles denses Debris_Divers/Cordage_Filet) avant de décider de le combiner à un ajustement ciblé sur Bidon, ou de l'abandonner.</w:t>
      </w:r>
    </w:p>
    <w:p>
      <w:pPr>
        <w:pStyle w:val="ListParagraph"/>
        <w:numPr>
          <w:ilvl w:val="0"/>
          <w:numId w:val="2"/>
        </w:numPr>
        <w:spacing w:after="70"/>
      </w:pPr>
      <w:r>
        <w:t xml:space="preserve">E-IRFS, AD-Det, Class-Balanced Loss, Seesaw/Equalization Loss, Focal Loss : identifiées, non implémentées (voir bibliographie).</w:t>
      </w:r>
    </w:p>
    <w:p>
      <w:pPr>
        <w:pStyle w:val="Heading1"/>
        <w:spacing w:after="160" w:before="400"/>
      </w:pPr>
      <w:r>
        <w:t xml:space="preserve">6. Méthodologie d'évaluation</w:t>
      </w:r>
    </w:p>
    <w:p>
      <w:pPr>
        <w:pStyle w:val="Heading2"/>
        <w:spacing w:after="100" w:before="260"/>
      </w:pPr>
      <w:r>
        <w:t xml:space="preserve">Problématique</w:t>
      </w:r>
    </w:p>
    <w:p>
      <w:pPr>
        <w:pStyle w:val="ListParagraph"/>
        <w:numPr>
          <w:ilvl w:val="0"/>
          <w:numId w:val="2"/>
        </w:numPr>
        <w:spacing w:after="70"/>
      </w:pPr>
      <w:r>
        <w:t xml:space="preserve">Quelle métrique lire pour juger un run, et quels pièges de lecture évitent une fausse conclusion.</w:t>
      </w:r>
    </w:p>
    <w:p>
      <w:pPr>
        <w:pStyle w:val="Heading2"/>
        <w:spacing w:after="100" w:before="260"/>
      </w:pPr>
      <w:r>
        <w:t xml:space="preserve">Solution retenue</w:t>
      </w:r>
    </w:p>
    <w:p>
      <w:pPr>
        <w:pStyle w:val="ListParagraph"/>
        <w:numPr>
          <w:ilvl w:val="0"/>
          <w:numId w:val="2"/>
        </w:numPr>
        <w:spacing w:after="70"/>
      </w:pPr>
      <w:r>
        <w:t xml:space="preserve">F1 par classe (déjà calculé par Ultralytics, </w:t>
      </w:r>
      <w:r>
        <w:rPr>
          <w:rFonts w:ascii="Consolas" w:cs="Consolas" w:eastAsia="Consolas" w:hAnsi="Consolas"/>
          <w:sz w:val="19"/>
          <w:szCs w:val="19"/>
        </w:rPr>
        <w:t xml:space="preserve">mask_f1</w:t>
      </w:r>
      <w:r>
        <w:t xml:space="preserve">) désormais affiché et agrégé dans training_report.py (macro_f1 = moyenne des F1 PAR CLASSE, pas un F1 recalculé depuis P/R macro) et compare_runs.py.</w:t>
      </w:r>
    </w:p>
    <w:p>
      <w:pPr>
        <w:pStyle w:val="ListParagraph"/>
        <w:numPr>
          <w:ilvl w:val="0"/>
          <w:numId w:val="2"/>
        </w:numPr>
        <w:spacing w:after="70"/>
      </w:pPr>
      <w:r>
        <w:t xml:space="preserve">Validé sur des cas réels avant adoption : donne en un seul chiffre la même conclusion qu'il fallait auparavant tirer à la main en comparant P/R séparément par classe (ex. ref_split_corrige F1 macro ≈ 39,0% vs mixup01 ≈ 37,4% vs overlap_mask_off ≈ 36,7% — même verdict que la lecture manuelle).</w:t>
      </w:r>
    </w:p>
    <w:p>
      <w:pPr>
        <w:pStyle w:val="ListParagraph"/>
        <w:numPr>
          <w:ilvl w:val="0"/>
          <w:numId w:val="2"/>
        </w:numPr>
        <w:spacing w:after="70"/>
      </w:pPr>
      <w:r>
        <w:t xml:space="preserve">Nuance : F1 pondère précision et rappel À ÉGALITÉ, alors que la priorité du projet est le rappel (ne pas rater de déchets en zone dense) — voir F2 en points ouverts.</w:t>
      </w:r>
    </w:p>
    <w:p>
      <w:pPr>
        <w:spacing w:after="60" w:before="160"/>
      </w:pPr>
      <w:r>
        <w:rPr>
          <w:b/>
          <w:bCs/>
          <w:i/>
          <w:iCs/>
          <w:sz w:val="21"/>
          <w:szCs w:val="21"/>
        </w:rPr>
        <w:t xml:space="preserve">Pièges rencontrés → règle établie</w:t>
      </w:r>
    </w:p>
    <w:p>
      <w:pPr>
        <w:pStyle w:val="ListParagraph"/>
        <w:numPr>
          <w:ilvl w:val="0"/>
          <w:numId w:val="2"/>
        </w:numPr>
        <w:spacing w:after="70"/>
      </w:pPr>
      <w:r>
        <w:t xml:space="preserve">Taxonomie encodée dans les poids du modèle (</w:t>
      </w:r>
      <w:r>
        <w:rPr>
          <w:rFonts w:ascii="Consolas" w:cs="Consolas" w:eastAsia="Consolas" w:hAnsi="Consolas"/>
          <w:sz w:val="19"/>
          <w:szCs w:val="19"/>
        </w:rPr>
        <w:t xml:space="preserve">model.names</w:t>
      </w:r>
      <w:r>
        <w:t xml:space="preserve"> figé à l'entraînement), pas seulement dans la config → une révision de taxonomie rend un ancien modèle incompatible avec la config actuelle (une classe fantôme peut apparaître dans un rapport régénéré). Garde-fou : class_config.assert_model_matches_taxonomy() (compare les deux dictionnaires ID par ID, erreur explicite plutôt qu'une réinterprétation silencieuse) — posé sur les outils de src/review/, PAS encore sur training_report.py.</w:t>
      </w:r>
    </w:p>
    <w:p>
      <w:pPr>
        <w:pStyle w:val="ListParagraph"/>
        <w:numPr>
          <w:ilvl w:val="0"/>
          <w:numId w:val="2"/>
        </w:numPr>
        <w:spacing w:after="70"/>
      </w:pPr>
      <w:r>
        <w:t xml:space="preserve">Seuil fixe de la matrice de confusion (≈ 0,25) vs P/R par classe pris au point de meilleur F1 → deux points de fonctionnement différents sur la même courbe, peut afficher 0% de rappel sur une classe rare alors que le P/R réel est correct. Règle : ne jamais lire la matrice de confusion seule sur une classe rare, toujours la croiser avec le tableau P/R.</w:t>
      </w:r>
    </w:p>
    <w:p>
      <w:pPr>
        <w:pStyle w:val="ListParagraph"/>
        <w:numPr>
          <w:ilvl w:val="0"/>
          <w:numId w:val="2"/>
        </w:numPr>
        <w:spacing w:after="70"/>
      </w:pPr>
      <w:r>
        <w:t xml:space="preserve"/>
      </w:r>
      <w:r>
        <w:rPr>
          <w:rFonts w:ascii="Consolas" w:cs="Consolas" w:eastAsia="Consolas" w:hAnsi="Consolas"/>
          <w:sz w:val="19"/>
          <w:szCs w:val="19"/>
        </w:rPr>
        <w:t xml:space="preserve">model.val(..., plots=False, ...)</w:t>
      </w:r>
      <w:r>
        <w:t xml:space="preserve"> désactivait aussi le remplissage de la matrice de confusion (ConfusionMatrix.process_batch() n'est appelé que si plots=True) → matrice à zéro partout alors que les métriques P/R restaient correctes. Fix : plots=True redirigé vers un dossier temporaire jeté après l'évaluation.</w:t>
      </w:r>
    </w:p>
    <w:p>
      <w:pPr>
        <w:pStyle w:val="ListParagraph"/>
        <w:numPr>
          <w:ilvl w:val="0"/>
          <w:numId w:val="2"/>
        </w:numPr>
        <w:spacing w:after="70"/>
      </w:pPr>
      <w:r>
        <w:t xml:space="preserve">Macro (moyenne simple par classe) peut masquer un arbitrage que le global (pondéré par le nombre d'instances) révèle → toujours lire les deux, jamais un seul.</w:t>
      </w:r>
    </w:p>
    <w:p>
      <w:pPr>
        <w:pStyle w:val="ListParagraph"/>
        <w:numPr>
          <w:ilvl w:val="0"/>
          <w:numId w:val="2"/>
        </w:numPr>
        <w:spacing w:after="70"/>
      </w:pPr>
      <w:r>
        <w:t xml:space="preserve">Le fingerprint du dataset tuilé change à chaque évolution du split/config amont → comparer des runs d'empreintes différentes revient à comparer des instruments de mesure différents. Règle : seuls les runs de même empreinte sont comparables entre eux.</w:t>
      </w:r>
    </w:p>
    <w:p>
      <w:pPr>
        <w:pStyle w:val="Heading2"/>
        <w:spacing w:after="100" w:before="260"/>
      </w:pPr>
      <w:r>
        <w:t xml:space="preserve">Points ouverts</w:t>
      </w:r>
    </w:p>
    <w:p>
      <w:pPr>
        <w:pStyle w:val="ListParagraph"/>
        <w:numPr>
          <w:ilvl w:val="0"/>
          <w:numId w:val="2"/>
        </w:numPr>
        <w:spacing w:after="70"/>
      </w:pPr>
      <w:r>
        <w:t xml:space="preserve">Métrique F2 (pondère le rappel 4x plus que la précision, plus fidèle à la priorité du projet) — pas implémentée, à activer si le F1 seul continue de donner des verdicts ambigus.</w:t>
      </w:r>
    </w:p>
    <w:p>
      <w:pPr>
        <w:pStyle w:val="ListParagraph"/>
        <w:numPr>
          <w:ilvl w:val="0"/>
          <w:numId w:val="2"/>
        </w:numPr>
        <w:spacing w:after="70"/>
      </w:pPr>
      <w:r>
        <w:t xml:space="preserve">Étendre le garde-fou de cohérence de taxonomie (</w:t>
      </w:r>
      <w:r>
        <w:rPr>
          <w:rFonts w:ascii="Consolas" w:cs="Consolas" w:eastAsia="Consolas" w:hAnsi="Consolas"/>
          <w:sz w:val="19"/>
          <w:szCs w:val="19"/>
        </w:rPr>
        <w:t xml:space="preserve">assert_model_matches_taxonomy</w:t>
      </w:r>
      <w:r>
        <w:t xml:space="preserve">) à training_report.py.</w:t>
      </w:r>
    </w:p>
    <w:p>
      <w:pPr>
        <w:pStyle w:val="Heading1"/>
        <w:spacing w:after="160" w:before="400"/>
      </w:pPr>
      <w:r>
        <w:t xml:space="preserve">7. Registre des modèles retenus</w:t>
      </w:r>
    </w:p>
    <w:p>
      <w:pPr>
        <w:pStyle w:val="Heading2"/>
        <w:spacing w:after="100" w:before="260"/>
      </w:pPr>
      <w:r>
        <w:t xml:space="preserve">Problématique</w:t>
      </w:r>
    </w:p>
    <w:p>
      <w:pPr>
        <w:pStyle w:val="ListParagraph"/>
        <w:numPr>
          <w:ilvl w:val="0"/>
          <w:numId w:val="2"/>
        </w:numPr>
        <w:spacing w:after="70"/>
      </w:pPr>
      <w:r>
        <w:t xml:space="preserve">Ne jamais proposer par erreur, pour un usage terrain, un run expérimental ou raté parmi tous ceux stockés dans </w:t>
      </w:r>
      <w:r>
        <w:rPr>
          <w:rFonts w:ascii="Consolas" w:cs="Consolas" w:eastAsia="Consolas" w:hAnsi="Consolas"/>
          <w:sz w:val="19"/>
          <w:szCs w:val="19"/>
        </w:rPr>
        <w:t xml:space="preserve">output/runs/</w:t>
      </w:r>
      <w:r>
        <w:t xml:space="preserve">.</w:t>
      </w:r>
    </w:p>
    <w:p>
      <w:pPr>
        <w:pStyle w:val="Heading2"/>
        <w:spacing w:after="100" w:before="260"/>
      </w:pPr>
      <w:r>
        <w:t xml:space="preserve">Solution retenue</w:t>
      </w:r>
    </w:p>
    <w:p>
      <w:pPr>
        <w:pStyle w:val="ListParagraph"/>
        <w:numPr>
          <w:ilvl w:val="0"/>
          <w:numId w:val="2"/>
        </w:numPr>
        <w:spacing w:after="70"/>
      </w:pPr>
      <w:r>
        <w:t xml:space="preserve"/>
      </w:r>
      <w:r>
        <w:rPr>
          <w:rFonts w:ascii="Consolas" w:cs="Consolas" w:eastAsia="Consolas" w:hAnsi="Consolas"/>
          <w:sz w:val="19"/>
          <w:szCs w:val="19"/>
        </w:rPr>
        <w:t xml:space="preserve">config/models_registry.yaml</w:t>
      </w:r>
      <w:r>
        <w:t xml:space="preserve"> rempli à la main (jamais par scan automatique) ; run_application.py refuse de tourner tant qu'aucune entrée n'y figure. Chaque entrée porte un champ taxonomy_config pour garder actif le garde-fou anti-mismatch de taxonomie (brique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1200"/>
        <w:gridCol w:w="2700"/>
      </w:tblGrid>
      <w:tr>
        <w:trPr>
          <w:tblHeader/>
        </w:trPr>
        <w:tc>
          <w:tcPr>
            <w:tcW w:type="dxa" w:w="1800"/>
            <w:shd w:fill="1F5C4A" w:color="auto" w:val="clear"/>
            <w:tcMar>
              <w:top w:type="dxa" w:w="60"/>
              <w:left w:type="dxa" w:w="100"/>
              <w:bottom w:type="dxa" w:w="60"/>
              <w:right w:type="dxa" w:w="100"/>
            </w:tcMar>
          </w:tcPr>
          <w:p>
            <w:pPr>
              <w:jc w:val="left"/>
            </w:pPr>
            <w:r>
              <w:rPr>
                <w:b/>
                <w:bCs/>
                <w:sz w:val="19"/>
                <w:szCs w:val="19"/>
              </w:rPr>
              <w:t xml:space="preserve">Entrée</w:t>
            </w:r>
          </w:p>
        </w:tc>
        <w:tc>
          <w:tcPr>
            <w:tcW w:type="dxa" w:w="3300"/>
            <w:shd w:fill="1F5C4A" w:color="auto" w:val="clear"/>
            <w:tcMar>
              <w:top w:type="dxa" w:w="60"/>
              <w:left w:type="dxa" w:w="100"/>
              <w:bottom w:type="dxa" w:w="60"/>
              <w:right w:type="dxa" w:w="100"/>
            </w:tcMar>
          </w:tcPr>
          <w:p>
            <w:pPr>
              <w:jc w:val="left"/>
            </w:pPr>
            <w:r>
              <w:rPr>
                <w:b/>
                <w:bCs/>
                <w:sz w:val="19"/>
                <w:szCs w:val="19"/>
              </w:rPr>
              <w:t xml:space="preserve">Run source</w:t>
            </w:r>
          </w:p>
        </w:tc>
        <w:tc>
          <w:tcPr>
            <w:tcW w:type="dxa" w:w="1200"/>
            <w:shd w:fill="1F5C4A" w:color="auto" w:val="clear"/>
            <w:tcMar>
              <w:top w:type="dxa" w:w="60"/>
              <w:left w:type="dxa" w:w="100"/>
              <w:bottom w:type="dxa" w:w="60"/>
              <w:right w:type="dxa" w:w="100"/>
            </w:tcMar>
          </w:tcPr>
          <w:p>
            <w:pPr>
              <w:jc w:val="left"/>
            </w:pPr>
            <w:r>
              <w:rPr>
                <w:b/>
                <w:bCs/>
                <w:sz w:val="19"/>
                <w:szCs w:val="19"/>
              </w:rPr>
              <w:t xml:space="preserve">F1 test</w:t>
            </w:r>
          </w:p>
        </w:tc>
        <w:tc>
          <w:tcPr>
            <w:tcW w:type="dxa" w:w="2700"/>
            <w:shd w:fill="1F5C4A" w:color="auto" w:val="clear"/>
            <w:tcMar>
              <w:top w:type="dxa" w:w="60"/>
              <w:left w:type="dxa" w:w="100"/>
              <w:bottom w:type="dxa" w:w="60"/>
              <w:right w:type="dxa" w:w="100"/>
            </w:tcMar>
          </w:tcPr>
          <w:p>
            <w:pPr>
              <w:jc w:val="left"/>
            </w:pPr>
            <w:r>
              <w:rPr>
                <w:b/>
                <w:bCs/>
                <w:sz w:val="19"/>
                <w:szCs w:val="19"/>
              </w:rPr>
              <w:t xml:space="preserve">Config taxonomie</w:t>
            </w:r>
          </w:p>
        </w:tc>
      </w:tr>
      <w:tr>
        <w:tc>
          <w:tcPr>
            <w:tcW w:type="dxa" w:w="1800"/>
            <w:tcMar>
              <w:top w:type="dxa" w:w="60"/>
              <w:left w:type="dxa" w:w="100"/>
              <w:bottom w:type="dxa" w:w="60"/>
              <w:right w:type="dxa" w:w="100"/>
            </w:tcMar>
          </w:tcPr>
          <w:p>
            <w:pPr>
              <w:jc w:val="left"/>
            </w:pPr>
            <w:r>
              <w:rPr>
                <w:b w:val="false"/>
                <w:bCs w:val="false"/>
                <w:sz w:val="19"/>
                <w:szCs w:val="19"/>
              </w:rPr>
              <w:t xml:space="preserve">mono_class_v1</w:t>
            </w:r>
          </w:p>
        </w:tc>
        <w:tc>
          <w:tcPr>
            <w:tcW w:type="dxa" w:w="3300"/>
            <w:tcMar>
              <w:top w:type="dxa" w:w="60"/>
              <w:left w:type="dxa" w:w="100"/>
              <w:bottom w:type="dxa" w:w="60"/>
              <w:right w:type="dxa" w:w="100"/>
            </w:tcMar>
          </w:tcPr>
          <w:p>
            <w:pPr>
              <w:jc w:val="left"/>
            </w:pPr>
            <w:r>
              <w:rPr>
                <w:b w:val="false"/>
                <w:bCs w:val="false"/>
                <w:sz w:val="19"/>
                <w:szCs w:val="19"/>
              </w:rPr>
              <w:t xml:space="preserve">yolo11s-seg (tuned_recipe)</w:t>
            </w:r>
          </w:p>
        </w:tc>
        <w:tc>
          <w:tcPr>
            <w:tcW w:type="dxa" w:w="1200"/>
            <w:tcMar>
              <w:top w:type="dxa" w:w="60"/>
              <w:left w:type="dxa" w:w="100"/>
              <w:bottom w:type="dxa" w:w="60"/>
              <w:right w:type="dxa" w:w="100"/>
            </w:tcMar>
          </w:tcPr>
          <w:p>
            <w:pPr>
              <w:jc w:val="left"/>
            </w:pPr>
            <w:r>
              <w:rPr>
                <w:b w:val="false"/>
                <w:bCs w:val="false"/>
                <w:sz w:val="19"/>
                <w:szCs w:val="19"/>
              </w:rPr>
              <w:t xml:space="preserve">0,532</w:t>
            </w:r>
          </w:p>
        </w:tc>
        <w:tc>
          <w:tcPr>
            <w:tcW w:type="dxa" w:w="2700"/>
            <w:tcMar>
              <w:top w:type="dxa" w:w="60"/>
              <w:left w:type="dxa" w:w="100"/>
              <w:bottom w:type="dxa" w:w="60"/>
              <w:right w:type="dxa" w:w="100"/>
            </w:tcMar>
          </w:tcPr>
          <w:p>
            <w:pPr>
              <w:jc w:val="left"/>
            </w:pPr>
            <w:r>
              <w:rPr>
                <w:b w:val="false"/>
                <w:bCs w:val="false"/>
                <w:sz w:val="19"/>
                <w:szCs w:val="19"/>
              </w:rPr>
              <w:t xml:space="preserve">data_config_mono_class.yaml</w:t>
            </w:r>
          </w:p>
        </w:tc>
      </w:tr>
      <w:tr>
        <w:tc>
          <w:tcPr>
            <w:tcW w:type="dxa" w:w="1800"/>
            <w:shd w:fill="EAF2EF" w:color="auto" w:val="clear"/>
            <w:tcMar>
              <w:top w:type="dxa" w:w="60"/>
              <w:left w:type="dxa" w:w="100"/>
              <w:bottom w:type="dxa" w:w="60"/>
              <w:right w:type="dxa" w:w="100"/>
            </w:tcMar>
          </w:tcPr>
          <w:p>
            <w:pPr>
              <w:jc w:val="left"/>
            </w:pPr>
            <w:r>
              <w:rPr>
                <w:b w:val="false"/>
                <w:bCs w:val="false"/>
                <w:sz w:val="19"/>
                <w:szCs w:val="19"/>
              </w:rPr>
              <w:t xml:space="preserve">multi_class_v1</w:t>
            </w:r>
          </w:p>
        </w:tc>
        <w:tc>
          <w:tcPr>
            <w:tcW w:type="dxa" w:w="3300"/>
            <w:shd w:fill="EAF2EF" w:color="auto" w:val="clear"/>
            <w:tcMar>
              <w:top w:type="dxa" w:w="60"/>
              <w:left w:type="dxa" w:w="100"/>
              <w:bottom w:type="dxa" w:w="60"/>
              <w:right w:type="dxa" w:w="100"/>
            </w:tcMar>
          </w:tcPr>
          <w:p>
            <w:pPr>
              <w:jc w:val="left"/>
            </w:pPr>
            <w:r>
              <w:rPr>
                <w:b w:val="false"/>
                <w:bCs w:val="false"/>
                <w:sz w:val="19"/>
                <w:szCs w:val="19"/>
              </w:rPr>
              <w:t xml:space="preserve">yolo11n-seg (ref_split_corrige)</w:t>
            </w:r>
          </w:p>
        </w:tc>
        <w:tc>
          <w:tcPr>
            <w:tcW w:type="dxa" w:w="1200"/>
            <w:shd w:fill="EAF2EF" w:color="auto" w:val="clear"/>
            <w:tcMar>
              <w:top w:type="dxa" w:w="60"/>
              <w:left w:type="dxa" w:w="100"/>
              <w:bottom w:type="dxa" w:w="60"/>
              <w:right w:type="dxa" w:w="100"/>
            </w:tcMar>
          </w:tcPr>
          <w:p>
            <w:pPr>
              <w:jc w:val="left"/>
            </w:pPr>
            <w:r>
              <w:rPr>
                <w:b w:val="false"/>
                <w:bCs w:val="false"/>
                <w:sz w:val="19"/>
                <w:szCs w:val="19"/>
              </w:rPr>
              <w:t xml:space="preserve">0,390</w:t>
            </w:r>
          </w:p>
        </w:tc>
        <w:tc>
          <w:tcPr>
            <w:tcW w:type="dxa" w:w="2700"/>
            <w:shd w:fill="EAF2EF" w:color="auto" w:val="clear"/>
            <w:tcMar>
              <w:top w:type="dxa" w:w="60"/>
              <w:left w:type="dxa" w:w="100"/>
              <w:bottom w:type="dxa" w:w="60"/>
              <w:right w:type="dxa" w:w="100"/>
            </w:tcMar>
          </w:tcPr>
          <w:p>
            <w:pPr>
              <w:jc w:val="left"/>
            </w:pPr>
            <w:r>
              <w:rPr>
                <w:b w:val="false"/>
                <w:bCs w:val="false"/>
                <w:sz w:val="19"/>
                <w:szCs w:val="19"/>
              </w:rPr>
              <w:t xml:space="preserve">data_config.yaml</w:t>
            </w:r>
          </w:p>
        </w:tc>
      </w:tr>
    </w:tbl>
    <w:p>
      <w:pPr>
        <w:spacing w:after="160" w:before="60"/>
      </w:pPr>
      <w:r>
        <w:rPr>
          <w:i/>
          <w:iCs/>
          <w:color w:val="555555"/>
          <w:sz w:val="17"/>
          <w:szCs w:val="17"/>
        </w:rPr>
        <w:t xml:space="preserve">Registre opérationnel actuel. Source : config/models_registry.yaml.</w:t>
      </w:r>
    </w:p>
    <w:p>
      <w:pPr>
        <w:pStyle w:val="ListParagraph"/>
        <w:numPr>
          <w:ilvl w:val="0"/>
          <w:numId w:val="2"/>
        </w:numPr>
        <w:spacing w:after="70"/>
      </w:pPr>
      <w:r>
        <w:t xml:space="preserve">multi_class_v1 retenu après vérification explicite de la liste per_class de chaque run candidat (pas seulement le score global) : plusieurs runs plus anciens avec un score brut plus élevé ont été exclus car entraînés sous une taxonomie obsolète (8 classes), incompatibles avec la taxonomie actuelle malgré un chiffre qui aurait pu tromper une comparaison purement numérique.</w:t>
      </w:r>
    </w:p>
    <w:p>
      <w:pPr>
        <w:pStyle w:val="Heading2"/>
        <w:spacing w:after="100" w:before="260"/>
      </w:pPr>
      <w:r>
        <w:t xml:space="preserve">Points ouverts</w:t>
      </w:r>
    </w:p>
    <w:p>
      <w:pPr>
        <w:pStyle w:val="ListParagraph"/>
        <w:numPr>
          <w:ilvl w:val="0"/>
          <w:numId w:val="2"/>
        </w:numPr>
        <w:spacing w:after="70"/>
      </w:pPr>
      <w:r>
        <w:t xml:space="preserve">Choix mono-classe vs multi-classe définitif pour un usage de production unique (brique 1) : non tranché — les deux restent disponibles en parallèle.</w:t>
      </w:r>
    </w:p>
    <w:p>
      <w:pPr>
        <w:pStyle w:val="Heading1"/>
        <w:spacing w:after="160" w:before="400"/>
      </w:pPr>
      <w:r>
        <w:t xml:space="preserve">Bibliographie</w:t>
      </w:r>
    </w:p>
    <w:p>
      <w:pPr>
        <w:spacing w:after="100"/>
      </w:pPr>
      <w:r>
        <w:rPr>
          <w:i/>
          <w:iCs/>
          <w:color w:val="555555"/>
          <w:sz w:val="19"/>
          <w:szCs w:val="19"/>
        </w:rPr>
        <w:t xml:space="preserve">Références numérotées dans l'ordre de citation (brique 5). [5] et [6] ne proviennent pas d'une recherche documentée — à vérifier plus en détail avant de justifier un choix d'implémentation dessus.</w:t>
      </w:r>
    </w:p>
    <w:p>
      <w:pPr>
        <w:pStyle w:val="ListParagraph"/>
        <w:numPr>
          <w:ilvl w:val="0"/>
          <w:numId w:val="2"/>
        </w:numPr>
        <w:spacing w:after="70"/>
      </w:pPr>
      <w:r>
        <w:t xml:space="preserve">[1] Rahman, M. M. et al. (2024). « Class Imbalance in Object Detection: An Experimental Diagnosis and Study of Mitigation Strategies ». arxiv.org/html/2403.07113v1</w:t>
      </w:r>
    </w:p>
    <w:p>
      <w:pPr>
        <w:pStyle w:val="ListParagraph"/>
        <w:numPr>
          <w:ilvl w:val="0"/>
          <w:numId w:val="2"/>
        </w:numPr>
        <w:spacing w:after="70"/>
      </w:pPr>
      <w:r>
        <w:t xml:space="preserve">[2] (2025). « Exponentially Weighted Instance-Aware Repeat Factor Sampling » (E-IRFS), validé sur données UAV. arxiv.org/html/2503.21893</w:t>
      </w:r>
    </w:p>
    <w:p>
      <w:pPr>
        <w:pStyle w:val="ListParagraph"/>
        <w:numPr>
          <w:ilvl w:val="0"/>
          <w:numId w:val="2"/>
        </w:numPr>
        <w:spacing w:after="70"/>
      </w:pPr>
      <w:r>
        <w:t xml:space="preserve">[3] (2025). « AD-Det », copy-paste ciblé sur VisDrone. mdpi.com/2072-4292/17/9/1556</w:t>
      </w:r>
    </w:p>
    <w:p>
      <w:pPr>
        <w:pStyle w:val="ListParagraph"/>
        <w:numPr>
          <w:ilvl w:val="0"/>
          <w:numId w:val="2"/>
        </w:numPr>
        <w:spacing w:after="70"/>
      </w:pPr>
      <w:r>
        <w:t xml:space="preserve">[4] Cui, Y. et al. (2019). « Class-Balanced Loss Based on Effective Number of Samples ». CVPR 2019.</w:t>
      </w:r>
    </w:p>
    <w:p>
      <w:pPr>
        <w:pStyle w:val="ListParagraph"/>
        <w:numPr>
          <w:ilvl w:val="0"/>
          <w:numId w:val="2"/>
        </w:numPr>
        <w:spacing w:after="70"/>
      </w:pPr>
      <w:r>
        <w:t xml:space="preserve">[5] Seesaw Loss / Equalization Loss, CVPR 2021, contexte LVIS — URL non vérifiée, à retrouver avant de s'appuyer dessus.</w:t>
      </w:r>
    </w:p>
    <w:p>
      <w:pPr>
        <w:pStyle w:val="ListParagraph"/>
        <w:numPr>
          <w:ilvl w:val="0"/>
          <w:numId w:val="2"/>
        </w:numPr>
        <w:spacing w:after="70"/>
      </w:pPr>
      <w:r>
        <w:t xml:space="preserve">[6] Lin, T.-Y. et al. (2017). « Focal Loss for Dense Object Detection ». ICCV 2017 (arXiv:1708.02002) — le code mort correspondant dans Ultralytics (</w:t>
      </w:r>
      <w:r>
        <w:rPr>
          <w:rFonts w:ascii="Consolas" w:cs="Consolas" w:eastAsia="Consolas" w:hAnsi="Consolas"/>
          <w:sz w:val="19"/>
          <w:szCs w:val="19"/>
        </w:rPr>
        <w:t xml:space="preserve">FocalLoss</w:t>
      </w:r>
      <w:r>
        <w:t xml:space="preserve">, VarifocalLoss) est vérifié directement dans le code source installé, voir brique 5.</w:t>
      </w:r>
    </w:p>
    <w:p>
      <w:pPr>
        <w:pBdr>
          <w:bottom w:val="single" w:color="B8B8B8" w:sz="6" w:space="4"/>
        </w:pBdr>
        <w:spacing w:after="200"/>
      </w:pPr>
    </w:p>
    <w:p>
      <w:pPr>
        <w:spacing w:after="100"/>
      </w:pPr>
      <w:r>
        <w:rPr>
          <w:i/>
          <w:iCs/>
          <w:color w:val="555555"/>
          <w:sz w:val="19"/>
          <w:szCs w:val="19"/>
        </w:rPr>
        <w:t xml:space="preserve">Toutes les décisions détaillées ici, avec leur raisonnement complet et daté, restent tracées dans le journal de décisions du projet (claude/journal_decisions_pipeline.md), source de référence en cas de doute.</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4A" w:sz="8" w:space="4"/>
      </w:pBdr>
      <w:spacing w:after="140" w:before="360"/>
    </w:pPr>
    <w:rPr>
      <w:rFonts w:ascii="Calibri" w:cs="Calibri" w:eastAsia="Calibri" w:hAnsi="Calibri"/>
      <w:b/>
      <w:bCs/>
      <w:color w:val="1F5C4A"/>
      <w:sz w:val="27"/>
      <w:szCs w:val="27"/>
    </w:rPr>
  </w:style>
  <w:style w:type="paragraph" w:styleId="Heading2">
    <w:name w:val="Heading 2"/>
    <w:basedOn w:val="Normal"/>
    <w:next w:val="Normal"/>
    <w:qFormat/>
    <w:pPr>
      <w:spacing w:after="80" w:before="220"/>
    </w:pPr>
    <w:rPr>
      <w:rFonts w:ascii="Calibri" w:cs="Calibri" w:eastAsia="Calibri" w:hAnsi="Calibri"/>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2026-09-08T21:26:11.691Z</dcterms:created>
  <dcterms:modified xsi:type="dcterms:W3CDTF">2026-09-08T21:26:11.705Z</dcterms:modified>
</cp:coreProperties>
</file>

<file path=docProps/custom.xml><?xml version="1.0" encoding="utf-8"?>
<Properties xmlns="http://schemas.openxmlformats.org/officeDocument/2006/custom-properties" xmlns:vt="http://schemas.openxmlformats.org/officeDocument/2006/docPropsVTypes"/>
</file>