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4C8A9" w14:textId="0C551F04" w:rsidR="00F85032" w:rsidRDefault="00F85032" w:rsidP="00CC7E87">
      <w:pPr>
        <w:spacing w:after="200"/>
      </w:pPr>
    </w:p>
    <w:p w14:paraId="6A02BA42" w14:textId="77777777" w:rsidR="00F85032" w:rsidRDefault="00000000">
      <w:pPr>
        <w:spacing w:after="120"/>
        <w:jc w:val="center"/>
      </w:pPr>
      <w:proofErr w:type="spellStart"/>
      <w:r>
        <w:rPr>
          <w:b/>
          <w:bCs/>
          <w:color w:val="1F5C4A"/>
          <w:sz w:val="56"/>
          <w:szCs w:val="56"/>
        </w:rPr>
        <w:t>PixelOdyssey</w:t>
      </w:r>
      <w:proofErr w:type="spellEnd"/>
    </w:p>
    <w:p w14:paraId="05B06A88" w14:textId="1A51FD22" w:rsidR="00F85032" w:rsidRDefault="00000000">
      <w:pPr>
        <w:spacing w:after="60"/>
        <w:jc w:val="center"/>
      </w:pPr>
      <w:r>
        <w:rPr>
          <w:sz w:val="32"/>
          <w:szCs w:val="32"/>
        </w:rPr>
        <w:t xml:space="preserve">Rapport de bilan de projet </w:t>
      </w:r>
    </w:p>
    <w:p w14:paraId="5BF39874" w14:textId="77777777" w:rsidR="00F85032" w:rsidRDefault="00000000">
      <w:pPr>
        <w:spacing w:after="800"/>
        <w:jc w:val="center"/>
      </w:pPr>
      <w:r>
        <w:rPr>
          <w:i/>
          <w:iCs/>
          <w:color w:val="5A5A5A"/>
          <w:sz w:val="24"/>
          <w:szCs w:val="24"/>
        </w:rPr>
        <w:t>Détection, segmentation et estimation des déchets plastiques par imagerie drone — le principe de la vision par ordinateur et son application au projet</w:t>
      </w:r>
    </w:p>
    <w:p w14:paraId="1BBC3250" w14:textId="1598B4B5" w:rsidR="00F85032" w:rsidRDefault="00000000">
      <w:pPr>
        <w:pStyle w:val="Titre1"/>
      </w:pPr>
      <w:r>
        <w:t>Sommaire</w:t>
      </w:r>
    </w:p>
    <w:p w14:paraId="3D01B1DC" w14:textId="3D07475F" w:rsidR="00CC7E87" w:rsidRDefault="00CC7E87" w:rsidP="00CC7E87">
      <w:pPr>
        <w:pStyle w:val="Paragraphedeliste"/>
        <w:numPr>
          <w:ilvl w:val="0"/>
          <w:numId w:val="2"/>
        </w:numPr>
        <w:spacing w:after="60"/>
        <w:rPr>
          <w:color w:val="5A5A5A"/>
        </w:rPr>
      </w:pPr>
      <w:r w:rsidRPr="00CC7E87">
        <w:rPr>
          <w:color w:val="5A5A5A"/>
        </w:rPr>
        <w:t>Objectifs du projet</w:t>
      </w:r>
    </w:p>
    <w:p w14:paraId="1CCD201B" w14:textId="24D8ED5D" w:rsidR="00CC7E87" w:rsidRPr="00CC7E87" w:rsidRDefault="00CC7E87" w:rsidP="00CC7E87">
      <w:pPr>
        <w:pStyle w:val="Paragraphedeliste"/>
        <w:numPr>
          <w:ilvl w:val="1"/>
          <w:numId w:val="2"/>
        </w:numPr>
        <w:spacing w:after="60"/>
        <w:rPr>
          <w:color w:val="5A5A5A"/>
        </w:rPr>
      </w:pPr>
      <w:r>
        <w:rPr>
          <w:color w:val="5A5A5A"/>
        </w:rPr>
        <w:t>Explication de la logique du computer vision et de l’intérêt d’un travail de segmentation</w:t>
      </w:r>
    </w:p>
    <w:p w14:paraId="404F4B44" w14:textId="07840981" w:rsidR="00CC7E87" w:rsidRDefault="00CC7E87" w:rsidP="00CC7E87">
      <w:pPr>
        <w:pStyle w:val="Paragraphedeliste"/>
        <w:numPr>
          <w:ilvl w:val="0"/>
          <w:numId w:val="2"/>
        </w:numPr>
        <w:spacing w:after="60"/>
        <w:rPr>
          <w:color w:val="5A5A5A"/>
        </w:rPr>
      </w:pPr>
      <w:r>
        <w:rPr>
          <w:color w:val="5A5A5A"/>
        </w:rPr>
        <w:t xml:space="preserve">Vue d’ensemble de l’architecture </w:t>
      </w:r>
    </w:p>
    <w:p w14:paraId="4E511EE2" w14:textId="54FE7F8E" w:rsidR="00CC7E87" w:rsidRDefault="00CC7E87" w:rsidP="00CC7E87">
      <w:pPr>
        <w:pStyle w:val="Paragraphedeliste"/>
        <w:numPr>
          <w:ilvl w:val="1"/>
          <w:numId w:val="2"/>
        </w:numPr>
        <w:spacing w:after="60"/>
        <w:rPr>
          <w:color w:val="5A5A5A"/>
        </w:rPr>
      </w:pPr>
      <w:r>
        <w:rPr>
          <w:color w:val="5A5A5A"/>
        </w:rPr>
        <w:t>Accès aux données et aux codes</w:t>
      </w:r>
    </w:p>
    <w:p w14:paraId="69C9C693" w14:textId="378DC8D0" w:rsidR="00CC7E87" w:rsidRDefault="00CC7E87" w:rsidP="00CC7E87">
      <w:pPr>
        <w:pStyle w:val="Paragraphedeliste"/>
        <w:numPr>
          <w:ilvl w:val="1"/>
          <w:numId w:val="2"/>
        </w:numPr>
        <w:spacing w:after="60"/>
        <w:rPr>
          <w:color w:val="5A5A5A"/>
        </w:rPr>
      </w:pPr>
      <w:r>
        <w:rPr>
          <w:color w:val="5A5A5A"/>
        </w:rPr>
        <w:t>Principe de fonctionnement</w:t>
      </w:r>
    </w:p>
    <w:p w14:paraId="5D356D4D" w14:textId="40779E48" w:rsidR="00CC7E87" w:rsidRDefault="00CC7E87" w:rsidP="00CC7E87">
      <w:pPr>
        <w:pStyle w:val="Paragraphedeliste"/>
        <w:numPr>
          <w:ilvl w:val="1"/>
          <w:numId w:val="2"/>
        </w:numPr>
        <w:spacing w:after="60"/>
        <w:rPr>
          <w:color w:val="5A5A5A"/>
        </w:rPr>
      </w:pPr>
      <w:r>
        <w:rPr>
          <w:color w:val="5A5A5A"/>
        </w:rPr>
        <w:t>Dépendances</w:t>
      </w:r>
    </w:p>
    <w:p w14:paraId="465558BF" w14:textId="2144BB12" w:rsidR="00CC7E87" w:rsidRDefault="00CC7E87" w:rsidP="00CC7E87">
      <w:pPr>
        <w:pStyle w:val="Paragraphedeliste"/>
        <w:numPr>
          <w:ilvl w:val="0"/>
          <w:numId w:val="2"/>
        </w:numPr>
        <w:spacing w:after="60"/>
        <w:rPr>
          <w:color w:val="5A5A5A"/>
        </w:rPr>
      </w:pPr>
      <w:r>
        <w:rPr>
          <w:color w:val="5A5A5A"/>
        </w:rPr>
        <w:t>Données sources : acquisitions, formats et transformations</w:t>
      </w:r>
    </w:p>
    <w:p w14:paraId="1CF1738E" w14:textId="13710BB4" w:rsidR="00CC7E87" w:rsidRDefault="00CC7E87" w:rsidP="00CC7E87">
      <w:pPr>
        <w:pStyle w:val="Paragraphedeliste"/>
        <w:numPr>
          <w:ilvl w:val="1"/>
          <w:numId w:val="2"/>
        </w:numPr>
        <w:spacing w:after="60"/>
        <w:rPr>
          <w:color w:val="5A5A5A"/>
        </w:rPr>
      </w:pPr>
      <w:r>
        <w:rPr>
          <w:color w:val="5A5A5A"/>
        </w:rPr>
        <w:t>Site et méthodes de collecte</w:t>
      </w:r>
    </w:p>
    <w:p w14:paraId="4981BB03" w14:textId="1253D43A" w:rsidR="00CC7E87" w:rsidRDefault="00CC7E87" w:rsidP="00CC7E87">
      <w:pPr>
        <w:pStyle w:val="Paragraphedeliste"/>
        <w:numPr>
          <w:ilvl w:val="1"/>
          <w:numId w:val="2"/>
        </w:numPr>
        <w:spacing w:after="60"/>
        <w:rPr>
          <w:color w:val="5A5A5A"/>
        </w:rPr>
      </w:pPr>
      <w:r>
        <w:rPr>
          <w:color w:val="5A5A5A"/>
        </w:rPr>
        <w:t xml:space="preserve">Production des </w:t>
      </w:r>
      <w:proofErr w:type="spellStart"/>
      <w:r>
        <w:rPr>
          <w:color w:val="5A5A5A"/>
        </w:rPr>
        <w:t>orthomosaïques</w:t>
      </w:r>
      <w:proofErr w:type="spellEnd"/>
      <w:r>
        <w:rPr>
          <w:color w:val="5A5A5A"/>
        </w:rPr>
        <w:t xml:space="preserve"> </w:t>
      </w:r>
    </w:p>
    <w:p w14:paraId="62A4BCEF" w14:textId="63A38C0F" w:rsidR="00CC7E87" w:rsidRDefault="00CC7E87" w:rsidP="00CC7E87">
      <w:pPr>
        <w:pStyle w:val="Paragraphedeliste"/>
        <w:numPr>
          <w:ilvl w:val="1"/>
          <w:numId w:val="2"/>
        </w:numPr>
        <w:spacing w:after="60"/>
        <w:rPr>
          <w:color w:val="5A5A5A"/>
        </w:rPr>
      </w:pPr>
      <w:r>
        <w:rPr>
          <w:color w:val="5A5A5A"/>
        </w:rPr>
        <w:t>Préparation des annotations</w:t>
      </w:r>
    </w:p>
    <w:p w14:paraId="12930ED8" w14:textId="46C70AF8" w:rsidR="00CC7E87" w:rsidRDefault="00CC7E87" w:rsidP="00CC7E87">
      <w:pPr>
        <w:pStyle w:val="Paragraphedeliste"/>
        <w:numPr>
          <w:ilvl w:val="1"/>
          <w:numId w:val="2"/>
        </w:numPr>
        <w:spacing w:after="60"/>
        <w:rPr>
          <w:color w:val="5A5A5A"/>
        </w:rPr>
      </w:pPr>
      <w:r>
        <w:rPr>
          <w:color w:val="5A5A5A"/>
        </w:rPr>
        <w:t xml:space="preserve">Analyse du </w:t>
      </w:r>
      <w:proofErr w:type="spellStart"/>
      <w:r>
        <w:rPr>
          <w:color w:val="5A5A5A"/>
        </w:rPr>
        <w:t>dataset</w:t>
      </w:r>
      <w:proofErr w:type="spellEnd"/>
      <w:r>
        <w:rPr>
          <w:color w:val="5A5A5A"/>
        </w:rPr>
        <w:t xml:space="preserve"> disponible</w:t>
      </w:r>
    </w:p>
    <w:p w14:paraId="0630F5D3" w14:textId="50452103" w:rsidR="00CC7E87" w:rsidRDefault="00CC7E87" w:rsidP="00CC7E87">
      <w:pPr>
        <w:pStyle w:val="Paragraphedeliste"/>
        <w:numPr>
          <w:ilvl w:val="0"/>
          <w:numId w:val="2"/>
        </w:numPr>
        <w:spacing w:after="60"/>
        <w:rPr>
          <w:color w:val="5A5A5A"/>
        </w:rPr>
      </w:pPr>
      <w:r>
        <w:rPr>
          <w:color w:val="5A5A5A"/>
        </w:rPr>
        <w:t xml:space="preserve">Entrainement </w:t>
      </w:r>
      <w:r w:rsidR="00A534F3">
        <w:rPr>
          <w:color w:val="5A5A5A"/>
        </w:rPr>
        <w:t xml:space="preserve">et développement </w:t>
      </w:r>
      <w:r>
        <w:rPr>
          <w:color w:val="5A5A5A"/>
        </w:rPr>
        <w:t>du modèle</w:t>
      </w:r>
    </w:p>
    <w:p w14:paraId="06FC38A0" w14:textId="440AEBE0" w:rsidR="00CC7E87" w:rsidRDefault="00CC7E87" w:rsidP="00CC7E87">
      <w:pPr>
        <w:pStyle w:val="Paragraphedeliste"/>
        <w:numPr>
          <w:ilvl w:val="1"/>
          <w:numId w:val="2"/>
        </w:numPr>
        <w:spacing w:after="60"/>
        <w:rPr>
          <w:color w:val="5A5A5A"/>
        </w:rPr>
      </w:pPr>
      <w:r>
        <w:rPr>
          <w:color w:val="5A5A5A"/>
        </w:rPr>
        <w:t>Principe et contraintes de la segmentation en Computer Vision</w:t>
      </w:r>
    </w:p>
    <w:p w14:paraId="4EFF045D" w14:textId="4649A6AB" w:rsidR="00CC7E87" w:rsidRDefault="00CC7E87" w:rsidP="00CC7E87">
      <w:pPr>
        <w:pStyle w:val="Paragraphedeliste"/>
        <w:numPr>
          <w:ilvl w:val="1"/>
          <w:numId w:val="2"/>
        </w:numPr>
        <w:spacing w:after="60"/>
        <w:rPr>
          <w:color w:val="5A5A5A"/>
        </w:rPr>
      </w:pPr>
      <w:r>
        <w:rPr>
          <w:color w:val="5A5A5A"/>
        </w:rPr>
        <w:t xml:space="preserve">Le travail sur le </w:t>
      </w:r>
      <w:proofErr w:type="spellStart"/>
      <w:r>
        <w:rPr>
          <w:color w:val="5A5A5A"/>
        </w:rPr>
        <w:t>dataset</w:t>
      </w:r>
      <w:proofErr w:type="spellEnd"/>
    </w:p>
    <w:p w14:paraId="0C7854DB" w14:textId="4DF66C01" w:rsidR="00CC7E87" w:rsidRDefault="00CC7E87" w:rsidP="00CC7E87">
      <w:pPr>
        <w:pStyle w:val="Paragraphedeliste"/>
        <w:numPr>
          <w:ilvl w:val="2"/>
          <w:numId w:val="2"/>
        </w:numPr>
        <w:spacing w:after="60"/>
        <w:rPr>
          <w:color w:val="5A5A5A"/>
        </w:rPr>
      </w:pPr>
      <w:r>
        <w:rPr>
          <w:color w:val="5A5A5A"/>
        </w:rPr>
        <w:t xml:space="preserve">Préparation des données </w:t>
      </w:r>
    </w:p>
    <w:p w14:paraId="321038B2" w14:textId="0E827062" w:rsidR="00CC7E87" w:rsidRDefault="00CC7E87" w:rsidP="00CC7E87">
      <w:pPr>
        <w:pStyle w:val="Paragraphedeliste"/>
        <w:numPr>
          <w:ilvl w:val="2"/>
          <w:numId w:val="2"/>
        </w:numPr>
        <w:spacing w:after="60"/>
        <w:rPr>
          <w:color w:val="5A5A5A"/>
        </w:rPr>
      </w:pPr>
      <w:r>
        <w:rPr>
          <w:color w:val="5A5A5A"/>
        </w:rPr>
        <w:t>Taxonomie</w:t>
      </w:r>
    </w:p>
    <w:p w14:paraId="15247554" w14:textId="483A723F" w:rsidR="00CC7E87" w:rsidRDefault="00CC7E87" w:rsidP="00CC7E87">
      <w:pPr>
        <w:pStyle w:val="Paragraphedeliste"/>
        <w:numPr>
          <w:ilvl w:val="2"/>
          <w:numId w:val="2"/>
        </w:numPr>
        <w:spacing w:after="60"/>
        <w:rPr>
          <w:color w:val="5A5A5A"/>
        </w:rPr>
      </w:pPr>
      <w:r>
        <w:rPr>
          <w:color w:val="5A5A5A"/>
        </w:rPr>
        <w:t>Augmentation et équilibrage</w:t>
      </w:r>
    </w:p>
    <w:p w14:paraId="3691BF9D" w14:textId="73636FA3" w:rsidR="00CC7E87" w:rsidRPr="00CC7E87" w:rsidRDefault="00CC7E87" w:rsidP="00CC7E87">
      <w:pPr>
        <w:pStyle w:val="Paragraphedeliste"/>
        <w:numPr>
          <w:ilvl w:val="2"/>
          <w:numId w:val="2"/>
        </w:numPr>
        <w:spacing w:after="60"/>
        <w:rPr>
          <w:color w:val="5A5A5A"/>
        </w:rPr>
      </w:pPr>
      <w:r>
        <w:rPr>
          <w:color w:val="5A5A5A"/>
        </w:rPr>
        <w:t xml:space="preserve">Séparation du </w:t>
      </w:r>
      <w:proofErr w:type="spellStart"/>
      <w:r>
        <w:rPr>
          <w:color w:val="5A5A5A"/>
        </w:rPr>
        <w:t>dataset</w:t>
      </w:r>
      <w:proofErr w:type="spellEnd"/>
      <w:r>
        <w:rPr>
          <w:color w:val="5A5A5A"/>
        </w:rPr>
        <w:t xml:space="preserve"> et exigence de comparabilité</w:t>
      </w:r>
    </w:p>
    <w:p w14:paraId="758C68CA" w14:textId="6F11B544" w:rsidR="00CC7E87" w:rsidRPr="00CC7E87" w:rsidRDefault="00CC7E87" w:rsidP="00CC7E87">
      <w:pPr>
        <w:pStyle w:val="Paragraphedeliste"/>
        <w:numPr>
          <w:ilvl w:val="1"/>
          <w:numId w:val="2"/>
        </w:numPr>
        <w:spacing w:after="60"/>
        <w:rPr>
          <w:color w:val="5A5A5A"/>
        </w:rPr>
      </w:pPr>
      <w:r>
        <w:rPr>
          <w:color w:val="5A5A5A"/>
        </w:rPr>
        <w:t>Entrainement d’un modèle</w:t>
      </w:r>
    </w:p>
    <w:p w14:paraId="3A68964B" w14:textId="497DAE16" w:rsidR="00CC7E87" w:rsidRDefault="00CC7E87" w:rsidP="00CC7E87">
      <w:pPr>
        <w:pStyle w:val="Paragraphedeliste"/>
        <w:numPr>
          <w:ilvl w:val="2"/>
          <w:numId w:val="2"/>
        </w:numPr>
        <w:spacing w:after="60"/>
        <w:rPr>
          <w:color w:val="5A5A5A"/>
        </w:rPr>
      </w:pPr>
      <w:r>
        <w:rPr>
          <w:color w:val="5A5A5A"/>
        </w:rPr>
        <w:t>Fine-tuning et réglage d’un modèle existant</w:t>
      </w:r>
    </w:p>
    <w:p w14:paraId="0DC7EA8C" w14:textId="175AB5CE" w:rsidR="00CC7E87" w:rsidRDefault="00A534F3" w:rsidP="00CC7E87">
      <w:pPr>
        <w:pStyle w:val="Paragraphedeliste"/>
        <w:numPr>
          <w:ilvl w:val="2"/>
          <w:numId w:val="2"/>
        </w:numPr>
        <w:spacing w:after="60"/>
        <w:rPr>
          <w:color w:val="5A5A5A"/>
        </w:rPr>
      </w:pPr>
      <w:r>
        <w:rPr>
          <w:color w:val="5A5A5A"/>
        </w:rPr>
        <w:t>Hyperparamètres déterminant pour notre configuration</w:t>
      </w:r>
    </w:p>
    <w:p w14:paraId="4E20CB51" w14:textId="7F69AAF1" w:rsidR="00A534F3" w:rsidRDefault="00A534F3" w:rsidP="00CC7E87">
      <w:pPr>
        <w:pStyle w:val="Paragraphedeliste"/>
        <w:numPr>
          <w:ilvl w:val="2"/>
          <w:numId w:val="2"/>
        </w:numPr>
        <w:spacing w:after="60"/>
        <w:rPr>
          <w:color w:val="5A5A5A"/>
        </w:rPr>
      </w:pPr>
      <w:r>
        <w:rPr>
          <w:color w:val="5A5A5A"/>
        </w:rPr>
        <w:t>Lecture des résultats</w:t>
      </w:r>
    </w:p>
    <w:p w14:paraId="273DF2A8" w14:textId="3A514CCC" w:rsidR="00A534F3" w:rsidRDefault="00A534F3" w:rsidP="00A534F3">
      <w:pPr>
        <w:pStyle w:val="Paragraphedeliste"/>
        <w:numPr>
          <w:ilvl w:val="1"/>
          <w:numId w:val="2"/>
        </w:numPr>
        <w:spacing w:after="60"/>
        <w:rPr>
          <w:color w:val="5A5A5A"/>
        </w:rPr>
      </w:pPr>
      <w:r>
        <w:rPr>
          <w:color w:val="5A5A5A"/>
        </w:rPr>
        <w:t xml:space="preserve">Comparaison des modèles </w:t>
      </w:r>
    </w:p>
    <w:p w14:paraId="6BBEC9FF" w14:textId="7BD0614C" w:rsidR="00A534F3" w:rsidRDefault="00A534F3" w:rsidP="00A534F3">
      <w:pPr>
        <w:pStyle w:val="Paragraphedeliste"/>
        <w:numPr>
          <w:ilvl w:val="0"/>
          <w:numId w:val="2"/>
        </w:numPr>
        <w:spacing w:after="60"/>
        <w:rPr>
          <w:color w:val="5A5A5A"/>
        </w:rPr>
      </w:pPr>
      <w:r>
        <w:rPr>
          <w:color w:val="5A5A5A"/>
        </w:rPr>
        <w:t xml:space="preserve">Pipeline de production </w:t>
      </w:r>
    </w:p>
    <w:p w14:paraId="7F0FDC03" w14:textId="0ED57334" w:rsidR="00A534F3" w:rsidRDefault="00A534F3" w:rsidP="00A534F3">
      <w:pPr>
        <w:pStyle w:val="Paragraphedeliste"/>
        <w:numPr>
          <w:ilvl w:val="1"/>
          <w:numId w:val="2"/>
        </w:numPr>
        <w:spacing w:after="60"/>
        <w:rPr>
          <w:color w:val="5A5A5A"/>
        </w:rPr>
      </w:pPr>
      <w:r>
        <w:rPr>
          <w:color w:val="5A5A5A"/>
        </w:rPr>
        <w:t>Deux modes d’inférences dépendant de la donnée d’entrée</w:t>
      </w:r>
    </w:p>
    <w:p w14:paraId="0329AB0F" w14:textId="3E734D3C" w:rsidR="00A534F3" w:rsidRDefault="00A534F3" w:rsidP="00A534F3">
      <w:pPr>
        <w:pStyle w:val="Paragraphedeliste"/>
        <w:numPr>
          <w:ilvl w:val="1"/>
          <w:numId w:val="2"/>
        </w:numPr>
        <w:spacing w:after="60"/>
        <w:rPr>
          <w:color w:val="5A5A5A"/>
        </w:rPr>
      </w:pPr>
      <w:r>
        <w:rPr>
          <w:color w:val="5A5A5A"/>
        </w:rPr>
        <w:t>Production d’indicateur</w:t>
      </w:r>
    </w:p>
    <w:p w14:paraId="4CDA3DD1" w14:textId="77777777" w:rsidR="00A534F3" w:rsidRPr="00CC7E87" w:rsidRDefault="00A534F3" w:rsidP="00A534F3">
      <w:pPr>
        <w:pStyle w:val="Paragraphedeliste"/>
        <w:numPr>
          <w:ilvl w:val="1"/>
          <w:numId w:val="2"/>
        </w:numPr>
        <w:spacing w:after="60"/>
        <w:rPr>
          <w:color w:val="5A5A5A"/>
        </w:rPr>
      </w:pPr>
    </w:p>
    <w:p w14:paraId="272B00AA" w14:textId="77777777" w:rsidR="00F85032" w:rsidRDefault="00000000">
      <w:pPr>
        <w:spacing w:after="60"/>
      </w:pPr>
      <w:r>
        <w:rPr>
          <w:color w:val="5A5A5A"/>
        </w:rPr>
        <w:t>2. Comprendre la vision par ordinateur</w:t>
      </w:r>
    </w:p>
    <w:p w14:paraId="37C533AE" w14:textId="77777777" w:rsidR="00F85032" w:rsidRDefault="00000000">
      <w:pPr>
        <w:spacing w:after="60"/>
      </w:pPr>
      <w:r>
        <w:rPr>
          <w:color w:val="5A5A5A"/>
        </w:rPr>
        <w:t xml:space="preserve">   2.1 Trois niveaux de finesse : classer, détecter, segmenter</w:t>
      </w:r>
    </w:p>
    <w:p w14:paraId="235C5D59" w14:textId="77777777" w:rsidR="00F85032" w:rsidRDefault="00000000">
      <w:pPr>
        <w:spacing w:after="60"/>
      </w:pPr>
      <w:r>
        <w:rPr>
          <w:color w:val="5A5A5A"/>
        </w:rPr>
        <w:t xml:space="preserve">   2.2 Apprendre à partir d’exemples : le rôle des trois ensembles</w:t>
      </w:r>
    </w:p>
    <w:p w14:paraId="2975EF95" w14:textId="77777777" w:rsidR="00F85032" w:rsidRDefault="00000000">
      <w:pPr>
        <w:spacing w:after="60"/>
      </w:pPr>
      <w:r>
        <w:rPr>
          <w:color w:val="5A5A5A"/>
        </w:rPr>
        <w:t xml:space="preserve">   2.3 La famille YOLO, et pourquoi la segmentation ici</w:t>
      </w:r>
    </w:p>
    <w:p w14:paraId="2C74EF36" w14:textId="77777777" w:rsidR="00F85032" w:rsidRDefault="00000000">
      <w:pPr>
        <w:spacing w:after="60"/>
      </w:pPr>
      <w:r>
        <w:rPr>
          <w:color w:val="5A5A5A"/>
        </w:rPr>
        <w:t xml:space="preserve">3. De la photo au modèle : ces principes à l’œuvre dans </w:t>
      </w:r>
      <w:proofErr w:type="spellStart"/>
      <w:r>
        <w:rPr>
          <w:color w:val="5A5A5A"/>
        </w:rPr>
        <w:t>PixelOdyssey</w:t>
      </w:r>
      <w:proofErr w:type="spellEnd"/>
    </w:p>
    <w:p w14:paraId="1D09BA6B" w14:textId="77777777" w:rsidR="00F85032" w:rsidRDefault="00000000">
      <w:pPr>
        <w:spacing w:after="60"/>
      </w:pPr>
      <w:r>
        <w:rPr>
          <w:color w:val="5A5A5A"/>
        </w:rPr>
        <w:t xml:space="preserve">   3.1 Les données de départ et leurs contraintes</w:t>
      </w:r>
    </w:p>
    <w:p w14:paraId="19415F82" w14:textId="77777777" w:rsidR="00F85032" w:rsidRDefault="00000000">
      <w:pPr>
        <w:spacing w:after="60"/>
      </w:pPr>
      <w:r>
        <w:rPr>
          <w:color w:val="5A5A5A"/>
        </w:rPr>
        <w:lastRenderedPageBreak/>
        <w:t xml:space="preserve">   3.2 Construire un référentiel de catégories qui tienne la route</w:t>
      </w:r>
    </w:p>
    <w:p w14:paraId="7BF9C063" w14:textId="77777777" w:rsidR="00F85032" w:rsidRDefault="00000000">
      <w:pPr>
        <w:spacing w:after="60"/>
      </w:pPr>
      <w:r>
        <w:rPr>
          <w:color w:val="5A5A5A"/>
        </w:rPr>
        <w:t xml:space="preserve">   3.3 Le pipeline d’entraînement, étape par étape</w:t>
      </w:r>
    </w:p>
    <w:p w14:paraId="37567EB7" w14:textId="77777777" w:rsidR="00F85032" w:rsidRDefault="00000000">
      <w:pPr>
        <w:spacing w:after="60"/>
      </w:pPr>
      <w:r>
        <w:rPr>
          <w:color w:val="5A5A5A"/>
        </w:rPr>
        <w:t xml:space="preserve">   3.4 Un choix d’architecture assumé</w:t>
      </w:r>
    </w:p>
    <w:p w14:paraId="0C4809ED" w14:textId="77777777" w:rsidR="00F85032" w:rsidRDefault="00000000">
      <w:pPr>
        <w:spacing w:after="60"/>
      </w:pPr>
      <w:r>
        <w:rPr>
          <w:color w:val="5A5A5A"/>
        </w:rPr>
        <w:t xml:space="preserve">   3.5 Corriger la vue du monde du modèle : l’augmentation nadir</w:t>
      </w:r>
    </w:p>
    <w:p w14:paraId="42B17B99" w14:textId="77777777" w:rsidR="00F85032" w:rsidRDefault="00000000">
      <w:pPr>
        <w:spacing w:after="60"/>
      </w:pPr>
      <w:r>
        <w:rPr>
          <w:color w:val="5A5A5A"/>
        </w:rPr>
        <w:t xml:space="preserve">   3.6 Rééquilibrer les classes : quatre pistes, quatre échecs instructifs</w:t>
      </w:r>
    </w:p>
    <w:p w14:paraId="2DDF86C2" w14:textId="77777777" w:rsidR="00F85032" w:rsidRDefault="00000000">
      <w:pPr>
        <w:spacing w:after="60"/>
      </w:pPr>
      <w:r>
        <w:rPr>
          <w:color w:val="5A5A5A"/>
        </w:rPr>
        <w:t xml:space="preserve">   3.7 Mesurer honnêtement : la méthodologie d’évaluation</w:t>
      </w:r>
    </w:p>
    <w:p w14:paraId="734182B6" w14:textId="77777777" w:rsidR="00F85032" w:rsidRDefault="00000000">
      <w:pPr>
        <w:spacing w:after="60"/>
      </w:pPr>
      <w:r>
        <w:rPr>
          <w:color w:val="5A5A5A"/>
        </w:rPr>
        <w:t xml:space="preserve">   3.8 Ce que les chiffres disent aujourd’hui</w:t>
      </w:r>
    </w:p>
    <w:p w14:paraId="33406FD6" w14:textId="77777777" w:rsidR="00F85032" w:rsidRDefault="00000000">
      <w:pPr>
        <w:spacing w:after="60"/>
      </w:pPr>
      <w:r>
        <w:rPr>
          <w:color w:val="5A5A5A"/>
        </w:rPr>
        <w:t>4. Du modèle au terrain : le pipeline de production</w:t>
      </w:r>
    </w:p>
    <w:p w14:paraId="4A0F37FD" w14:textId="77777777" w:rsidR="00F85032" w:rsidRDefault="00000000">
      <w:pPr>
        <w:spacing w:after="60"/>
      </w:pPr>
      <w:r>
        <w:rPr>
          <w:color w:val="5A5A5A"/>
        </w:rPr>
        <w:t xml:space="preserve">   4.1 Deux façons d’entrer dans le pipeline</w:t>
      </w:r>
    </w:p>
    <w:p w14:paraId="44E3B72E" w14:textId="77777777" w:rsidR="00F85032" w:rsidRDefault="00000000">
      <w:pPr>
        <w:spacing w:after="60"/>
      </w:pPr>
      <w:r>
        <w:rPr>
          <w:color w:val="5A5A5A"/>
        </w:rPr>
        <w:t xml:space="preserve">   4.2 Situer une détection dans l’espace</w:t>
      </w:r>
    </w:p>
    <w:p w14:paraId="6EF74A7B" w14:textId="77777777" w:rsidR="00F85032" w:rsidRDefault="00000000">
      <w:pPr>
        <w:spacing w:after="60"/>
      </w:pPr>
      <w:r>
        <w:rPr>
          <w:color w:val="5A5A5A"/>
        </w:rPr>
        <w:t xml:space="preserve">   4.3 Le problème du doublon</w:t>
      </w:r>
    </w:p>
    <w:p w14:paraId="1FF14AAB" w14:textId="77777777" w:rsidR="00F85032" w:rsidRDefault="00000000">
      <w:pPr>
        <w:spacing w:after="60"/>
      </w:pPr>
      <w:r>
        <w:rPr>
          <w:color w:val="5A5A5A"/>
        </w:rPr>
        <w:t xml:space="preserve">   4.4 Un point d’entrée devenu unique</w:t>
      </w:r>
    </w:p>
    <w:p w14:paraId="06CA50E0" w14:textId="77777777" w:rsidR="00F85032" w:rsidRDefault="00000000">
      <w:pPr>
        <w:spacing w:after="60"/>
      </w:pPr>
      <w:r>
        <w:rPr>
          <w:color w:val="5A5A5A"/>
        </w:rPr>
        <w:t xml:space="preserve">   4.5 Résultats et limites</w:t>
      </w:r>
    </w:p>
    <w:p w14:paraId="1A8D512F" w14:textId="77777777" w:rsidR="00F85032" w:rsidRDefault="00000000">
      <w:pPr>
        <w:spacing w:after="60"/>
      </w:pPr>
      <w:r>
        <w:rPr>
          <w:color w:val="5A5A5A"/>
        </w:rPr>
        <w:t>5. Bilan et pistes ouvertes</w:t>
      </w:r>
    </w:p>
    <w:p w14:paraId="3A702734" w14:textId="77777777" w:rsidR="00F85032" w:rsidRDefault="00000000">
      <w:pPr>
        <w:pStyle w:val="Titre1"/>
        <w:pageBreakBefore/>
      </w:pPr>
      <w:r>
        <w:lastRenderedPageBreak/>
        <w:t>1. Le projet en une phrase, et ce qu’elle implique</w:t>
      </w:r>
    </w:p>
    <w:p w14:paraId="7B9CD964" w14:textId="77777777" w:rsidR="00F85032" w:rsidRDefault="00000000">
      <w:pPr>
        <w:spacing w:after="200"/>
        <w:jc w:val="both"/>
      </w:pPr>
      <w:proofErr w:type="spellStart"/>
      <w:r>
        <w:t>PixelOdyssey</w:t>
      </w:r>
      <w:proofErr w:type="spellEnd"/>
      <w:r>
        <w:t xml:space="preserve"> vise à automatiser le repérage puis l’estimation quantitative des déchets plastiques échoués sur le littoral, à partir de photos aériennes prises par drone lors des missions de Plastic Odyssey. Cette phrase tient en une ligne, mais chacun de ses mots porte une contrainte de conception qui traverse tout le reste du projet.</w:t>
      </w:r>
    </w:p>
    <w:p w14:paraId="4B4CD9EC" w14:textId="77777777" w:rsidR="00F85032" w:rsidRDefault="00000000">
      <w:pPr>
        <w:spacing w:after="200"/>
        <w:jc w:val="both"/>
      </w:pPr>
      <w:r>
        <w:t>« Automatiser » suppose une architecture capable d’ajouter progressivement de nouveaux sites sans être reprise à chaque fois : chaque site apporte ses propres photos et ses propres annotations, qui viennent s’agréger dans un référentiel commun plutôt que de forcer une réécriture. « Repérage puis estimation » découpe le problème en deux objectifs imbriqués mais distincts : détecter et segmenter les déchets par famille de FORME — pas de matière, une nuance qui compte et qu’on retrouvera plus loin — puis, dans un second temps, convertir la surface de chaque détection en une masse estimée, calibrée par famille physique d’objet. Ce second objectif, l’estimation de masse, est encore au milieu de son cadrage : la correspondance entre photos de pesée et résultats est établie, le principe du modèle physique est posé, mais la calibration réelle et son implémentation restent à faire.</w:t>
      </w:r>
    </w:p>
    <w:p w14:paraId="5E5111AB" w14:textId="77777777" w:rsidR="00F85032" w:rsidRDefault="00000000">
      <w:pPr>
        <w:spacing w:after="200"/>
        <w:jc w:val="both"/>
      </w:pPr>
      <w:r>
        <w:t xml:space="preserve">Un troisième objectif traverse les deux premiers sans leur être subordonné : cartographier les détections géographiquement, que l’entrée du pipeline soit une </w:t>
      </w:r>
      <w:proofErr w:type="spellStart"/>
      <w:r>
        <w:t>orthomosaïque</w:t>
      </w:r>
      <w:proofErr w:type="spellEnd"/>
      <w:r>
        <w:t xml:space="preserve"> déjà reconstruite ou un lot de photos brutes fraîchement rapporté de mission. Et un objectif transversal, presque une condition de validité de tous les autres, structure une bonne partie des choix d’architecture décrits plus loin : la mesure de performance doit être rigoureuse et comparable d’un essai à l’autre. Un gain mesuré doit être un gain réel, jamais un artefact de méthode — sans quoi rien de ce qui suit n’aurait de valeur.</w:t>
      </w:r>
    </w:p>
    <w:p w14:paraId="671FAC47" w14:textId="77777777" w:rsidR="00F85032" w:rsidRDefault="00000000">
      <w:pPr>
        <w:spacing w:after="200"/>
        <w:jc w:val="both"/>
      </w:pPr>
      <w:r>
        <w:t>Le référentiel de données sur lequel s’appuie aujourd’hui le projet reste modeste en volume mais déjà réel : onze lots de collecte répartis sur trois sites (Aldabra, Saint Brandon, Santa Luzia), 536 images aériennes parentes, un peu plus de 3300 instances de déchets annotées. Un ordre de grandeur amené à grandir, mis à jour au fil des prochaines mesures — raison de plus pour que l’architecture ait été pensée, dès le départ, pour encaisser cette croissance sans être reprise.</w:t>
      </w:r>
    </w:p>
    <w:p w14:paraId="452113DB" w14:textId="77777777" w:rsidR="00F85032" w:rsidRDefault="00000000">
      <w:pPr>
        <w:spacing w:after="200"/>
        <w:jc w:val="both"/>
      </w:pPr>
      <w:r>
        <w:t>Concrètement, le projet se divise en deux chantiers qui ne partagent que la donnée annotée d’origine et une partie du moteur d’inférence : l’entraînement, qui part de photos annotées pour produire des poids de modèle comparables d’un essai à l’autre, et la production, qui part d’un modèle déjà entraîné, choisi manuellement dans un registre dédié, pour le mettre en œuvre sur le terrain. Les deux ne sont reliés que par un seul point de passage : le choix manuel d’un modèle entraîné. Cette séparation nette — rigueur méthodologique d’un côté, robustesse de terrain de l’autre — est la clé de lecture de tout ce qui suit, et notamment de la section suivante, qui prend le temps d’expliquer les notions de vision par ordinateur avant de montrer comment elles ont été appliquées.</w:t>
      </w:r>
    </w:p>
    <w:p w14:paraId="2103A043" w14:textId="77777777" w:rsidR="00F85032" w:rsidRDefault="00000000">
      <w:pPr>
        <w:pStyle w:val="Titre1"/>
        <w:pageBreakBefore/>
      </w:pPr>
      <w:r>
        <w:lastRenderedPageBreak/>
        <w:t>2. Comprendre la vision par ordinateur</w:t>
      </w:r>
    </w:p>
    <w:p w14:paraId="2327ECCE" w14:textId="77777777" w:rsidR="00F85032" w:rsidRDefault="00000000">
      <w:pPr>
        <w:spacing w:after="200"/>
        <w:jc w:val="both"/>
      </w:pPr>
      <w:r>
        <w:t xml:space="preserve">Avant de décrire ce que </w:t>
      </w:r>
      <w:proofErr w:type="spellStart"/>
      <w:r>
        <w:t>PixelOdyssey</w:t>
      </w:r>
      <w:proofErr w:type="spellEnd"/>
      <w:r>
        <w:t xml:space="preserve"> fait concrètement, il est utile de poser ce que recouvre la « vision par ordinateur » — le champ de l’intelligence artificielle qui apprend à des systèmes à interpréter le contenu d’une image — et pourquoi le projet a atterri précisément sur les choix qu’il a faits plutôt que sur d’autres, tout aussi envisageables a priori.</w:t>
      </w:r>
    </w:p>
    <w:p w14:paraId="4DB452BB" w14:textId="77777777" w:rsidR="00F85032" w:rsidRDefault="00000000">
      <w:pPr>
        <w:pStyle w:val="Titre2"/>
      </w:pPr>
      <w:r>
        <w:t>2.1 Trois niveaux de finesse : classer, détecter, segmenter</w:t>
      </w:r>
    </w:p>
    <w:p w14:paraId="19D6BD1B" w14:textId="77777777" w:rsidR="00F85032" w:rsidRDefault="00000000">
      <w:pPr>
        <w:spacing w:after="200"/>
        <w:jc w:val="both"/>
      </w:pPr>
      <w:r>
        <w:t xml:space="preserve">Un système de vision par ordinateur peut répondre à une image avec des degrés de précision très différents. Le plus grossier, la CLASSIFICATION, se contente de dire ce qu’une image contient dans son ensemble — « il y a du plastique sur cette photo » — sans dire où, ni combien. Un cran plus précis, la DÉTECTION D’OBJETS, place un cadre rectangulaire (une « </w:t>
      </w:r>
      <w:proofErr w:type="spellStart"/>
      <w:r>
        <w:t>bounding</w:t>
      </w:r>
      <w:proofErr w:type="spellEnd"/>
      <w:r>
        <w:t xml:space="preserve"> box ») autour de chaque objet reconnu et lui associe une catégorie : elle répond à « combien d’objets, et où, approximativement ». Le niveau le plus fin, la SEGMENTATION D’INSTANCE, va jusqu’à délimiter le contour exact de chaque objet, pixel par pixel, et distingue chaque exemplaire des autres même quand ils se touchent ou se chevauchent partiellement.</w:t>
      </w:r>
    </w:p>
    <w:p w14:paraId="5E21813C" w14:textId="77777777" w:rsidR="00F85032" w:rsidRDefault="00000000">
      <w:pPr>
        <w:spacing w:after="200"/>
        <w:jc w:val="both"/>
      </w:pPr>
      <w:r>
        <w:t xml:space="preserve">Ce choix n’est pas cosmétique. Une simple détection par cadre rectangulaire suffirait à compter des déchets ; elle ne suffit pas à en estimer la masse, puisqu’un rectangle englobant surestime systématiquement la surface réelle d’un objet dont la forme n’est pas elle-même rectangulaire — une bouteille couchée, un morceau de filet déployé. Comme l’un des trois objectifs du projet est justement de convertir une surface détectée en masse estimée, la segmentation d’instance n’est pas un raffinement optionnel : c’est la condition minimale pour que cet objectif soit seulement atteignable. C’est ce qui explique que </w:t>
      </w:r>
      <w:proofErr w:type="spellStart"/>
      <w:r>
        <w:t>PixelOdyssey</w:t>
      </w:r>
      <w:proofErr w:type="spellEnd"/>
      <w:r>
        <w:t xml:space="preserve"> s’appuie, dès l’annotation des données, sur des masques polygonaux et non sur de simples boîtes.</w:t>
      </w:r>
    </w:p>
    <w:p w14:paraId="4667BF20" w14:textId="77777777" w:rsidR="00F85032" w:rsidRDefault="00000000">
      <w:pPr>
        <w:pStyle w:val="Titre2"/>
      </w:pPr>
      <w:r>
        <w:t>2.2 Apprendre à partir d’exemples : le rôle des trois ensembles</w:t>
      </w:r>
    </w:p>
    <w:p w14:paraId="151C10C9" w14:textId="77777777" w:rsidR="00F85032" w:rsidRDefault="00000000">
      <w:pPr>
        <w:spacing w:after="200"/>
        <w:jc w:val="both"/>
      </w:pPr>
      <w:r>
        <w:t>Un modèle de ce type n’est pas programmé avec des règles explicites (« un bidon a telle forme, telle couleur ») : il est ENTRAÎNÉ, c’est-à-dire qu’on lui montre un grand nombre d’exemples déjà annotés par des humains — ici, des photos de déchets avec leur contour et leur catégorie tracés à la main — et un algorithme d’optimisation ajuste progressivement les paramètres internes du modèle pour que ses propres prédictions se rapprochent le plus possible de ces exemples. C’est ce qu’on appelle l’apprentissage SUPERVISÉ : supervisé parce que chaque exemple d’entraînement porte une réponse connue, contre laquelle l’erreur du modèle peut être mesurée puis corrigée.</w:t>
      </w:r>
    </w:p>
    <w:p w14:paraId="70BCA08B" w14:textId="77777777" w:rsidR="00F85032" w:rsidRDefault="00000000">
      <w:pPr>
        <w:spacing w:after="200"/>
        <w:jc w:val="both"/>
      </w:pPr>
      <w:r>
        <w:t>Cette logique introduit un risque qui structure une bonne partie des précautions méthodologiques du projet : un modèle peut apprendre PAR CŒUR les exemples qu’on lui montre sans généraliser à de nouvelles photos jamais vues — un phénomène appelé surapprentissage. Pour s’en prémunir et pour pouvoir mesurer honnêtement la capacité de généralisation d’un modèle, la donnée annotée est systématiquement répartie en trois ensembles disjoints avant tout entraînement : un ensemble d’ENTRAÎNEMENT, sur lequel le modèle ajuste ses paramètres ; un ensemble de VALIDATION, consulté en cours d’entraînement pour décider quand arrêter (dès que la performance sur cet ensemble cesse de progresser, pour éviter justement le surapprentissage) ; et un ensemble de TEST, mis de côté et jamais montré au modèle pendant l’entraînement, qui sert uniquement, une fois l’entraînement terminé, à mesurer la performance réelle et à comparer les essais entre eux.</w:t>
      </w:r>
    </w:p>
    <w:p w14:paraId="0F67F72D" w14:textId="77777777" w:rsidR="00F85032" w:rsidRDefault="00000000">
      <w:pPr>
        <w:spacing w:after="200"/>
        <w:jc w:val="both"/>
      </w:pPr>
      <w:r>
        <w:t xml:space="preserve">La rigueur de cette séparation n’a de valeur que si elle est tenue dans la durée : un jeu de test qui changerait de composition d’un essai à l’autre invaliderait toute comparaison, puisqu’une amélioration apparente pourrait n’être due qu’à un test devenu plus facile plutôt qu’à un modèle réellement meilleur. C’est exactement la contrainte que </w:t>
      </w:r>
      <w:proofErr w:type="spellStart"/>
      <w:r>
        <w:t>PixelOdyssey</w:t>
      </w:r>
      <w:proofErr w:type="spellEnd"/>
      <w:r>
        <w:t xml:space="preserve"> s’est donnée comme condition centrale de méthode, détaillée en section 3.3.</w:t>
      </w:r>
    </w:p>
    <w:p w14:paraId="2282246F" w14:textId="77777777" w:rsidR="00F85032" w:rsidRDefault="00000000">
      <w:pPr>
        <w:pStyle w:val="Titre2"/>
      </w:pPr>
      <w:r>
        <w:t>2.3 La famille YOLO, et pourquoi la segmentation ici</w:t>
      </w:r>
    </w:p>
    <w:p w14:paraId="75BC7ACE" w14:textId="77777777" w:rsidR="00F85032" w:rsidRDefault="00000000">
      <w:pPr>
        <w:spacing w:after="200"/>
        <w:jc w:val="both"/>
      </w:pPr>
      <w:r>
        <w:lastRenderedPageBreak/>
        <w:t xml:space="preserve">Il existe plusieurs grandes familles d’architectures pour la détection et la segmentation d’objets. </w:t>
      </w:r>
      <w:proofErr w:type="spellStart"/>
      <w:r>
        <w:t>PixelOdyssey</w:t>
      </w:r>
      <w:proofErr w:type="spellEnd"/>
      <w:r>
        <w:t xml:space="preserve"> s’appuie sur YOLO (« You Only Look Once »), et plus précisément sur sa variante de segmentation, dans sa déclinaison la plus récente au moment du projet (YOLO11-seg, distribuée par </w:t>
      </w:r>
      <w:proofErr w:type="spellStart"/>
      <w:r>
        <w:t>Ultralytics</w:t>
      </w:r>
      <w:proofErr w:type="spellEnd"/>
      <w:r>
        <w:t>). L’idée fondatrice de cette famille, qui lui donne son nom, est de traiter la détection comme un problème résolu en un seul passage du réseau de neurones sur l’image entière — par opposition à des architectures plus anciennes qui proposaient d’abord des zones candidates puis les classifiaient une par une, dans une seconde passe séparée. Ce choix architectural rend YOLO nettement plus rapide à l’inférence, un avantage direct pour un pipeline de production pensé pour tourner sur le terrain, potentiellement sans accélération matérielle dédiée.</w:t>
      </w:r>
    </w:p>
    <w:p w14:paraId="5AC031C9" w14:textId="77777777" w:rsidR="00F85032" w:rsidRDefault="00000000">
      <w:pPr>
        <w:spacing w:after="200"/>
        <w:jc w:val="both"/>
      </w:pPr>
      <w:r>
        <w:t xml:space="preserve">YOLO se décline en plusieurs tailles de modèle — schématiquement, nano, </w:t>
      </w:r>
      <w:proofErr w:type="spellStart"/>
      <w:r>
        <w:t>small</w:t>
      </w:r>
      <w:proofErr w:type="spellEnd"/>
      <w:r>
        <w:t xml:space="preserve">, medium et au-delà — qui échangent précision contre vitesse et poids : un modèle nano tient sur peu de mémoire et s’entraîne vite, un modèle </w:t>
      </w:r>
      <w:proofErr w:type="spellStart"/>
      <w:r>
        <w:t>small</w:t>
      </w:r>
      <w:proofErr w:type="spellEnd"/>
      <w:r>
        <w:t xml:space="preserve"> capture des motifs plus fins au prix d’un entraînement plus lourd. </w:t>
      </w:r>
      <w:proofErr w:type="spellStart"/>
      <w:r>
        <w:t>PixelOdyssey</w:t>
      </w:r>
      <w:proofErr w:type="spellEnd"/>
      <w:r>
        <w:t xml:space="preserve"> exploite cette gradation directement dans sa méthode : l’architecture nano sert de laboratoire pour les essais méthodologiques, rapides et nombreux, tandis que l’architecture </w:t>
      </w:r>
      <w:proofErr w:type="spellStart"/>
      <w:r>
        <w:t>small</w:t>
      </w:r>
      <w:proofErr w:type="spellEnd"/>
      <w:r>
        <w:t>, plus lourde mais plus précise, est réservée au modèle finalement retenu pour la production — un choix détaillé en section 3.4.</w:t>
      </w:r>
    </w:p>
    <w:p w14:paraId="1A42DD17" w14:textId="77777777" w:rsidR="00F85032" w:rsidRDefault="00000000">
      <w:pPr>
        <w:spacing w:after="200"/>
        <w:jc w:val="both"/>
      </w:pPr>
      <w:r>
        <w:t xml:space="preserve">Une dernière particularité de YOLO mérite d’être signalée parce qu’elle explique un choix d’architecture de données à part entière côté </w:t>
      </w:r>
      <w:proofErr w:type="spellStart"/>
      <w:r>
        <w:t>PixelOdyssey</w:t>
      </w:r>
      <w:proofErr w:type="spellEnd"/>
      <w:r>
        <w:t xml:space="preserve"> : le modèle attend des images d’une résolution d’entrée fixe et relativement modeste, bien inférieure à la résolution native d’une photo drone ou, a fortiori, d’une </w:t>
      </w:r>
      <w:proofErr w:type="spellStart"/>
      <w:r>
        <w:t>orthomosaïque</w:t>
      </w:r>
      <w:proofErr w:type="spellEnd"/>
      <w:r>
        <w:t xml:space="preserve"> de plusieurs centaines de mégapixels. Réduire directement une telle image à la résolution attendue ferait disparaître les objets les plus petits — précisément les déchets isolés qui intéressent le projet. La réponse à cette contrainte, le découpage en tuiles, est décrite en section 3.3.</w:t>
      </w:r>
    </w:p>
    <w:p w14:paraId="12287281" w14:textId="77777777" w:rsidR="00F85032" w:rsidRDefault="00000000">
      <w:pPr>
        <w:pStyle w:val="Titre1"/>
        <w:pageBreakBefore/>
      </w:pPr>
      <w:r>
        <w:lastRenderedPageBreak/>
        <w:t xml:space="preserve">3. De la photo au modèle : ces principes à l’œuvre dans </w:t>
      </w:r>
      <w:proofErr w:type="spellStart"/>
      <w:r>
        <w:t>PixelOdyssey</w:t>
      </w:r>
      <w:proofErr w:type="spellEnd"/>
    </w:p>
    <w:p w14:paraId="34BD8CB7" w14:textId="77777777" w:rsidR="00F85032" w:rsidRDefault="00000000">
      <w:pPr>
        <w:spacing w:after="200"/>
        <w:jc w:val="both"/>
      </w:pPr>
      <w:r>
        <w:t xml:space="preserve">Cette section reprend, une à une, les notions posées en section 2 et montre comment elles se traduisent concrètement dans le chantier d’entraînement de </w:t>
      </w:r>
      <w:proofErr w:type="spellStart"/>
      <w:r>
        <w:t>PixelOdyssey</w:t>
      </w:r>
      <w:proofErr w:type="spellEnd"/>
      <w:r>
        <w:t xml:space="preserve"> — des données brutes jusqu’au modèle retenu pour la production.</w:t>
      </w:r>
    </w:p>
    <w:p w14:paraId="66CC17C1" w14:textId="77777777" w:rsidR="00F85032" w:rsidRDefault="00000000">
      <w:pPr>
        <w:pStyle w:val="Titre2"/>
      </w:pPr>
      <w:r>
        <w:t>3.1 Les données de départ et leurs contraintes</w:t>
      </w:r>
    </w:p>
    <w:p w14:paraId="3EB827B2" w14:textId="77777777" w:rsidR="00F85032" w:rsidRDefault="00000000">
      <w:pPr>
        <w:spacing w:after="200"/>
        <w:jc w:val="both"/>
      </w:pPr>
      <w:r>
        <w:t xml:space="preserve">Le projet part de deux types de sources. D’une part des photos brutes, au format JPEG natif du capteur (typiquement un DJI Air 2S, 5472 par 3648 pixels), déjà compressées à la capture par une décision du fabricant qui échappe totalement au contrôle du pipeline. D’autre part des </w:t>
      </w:r>
      <w:proofErr w:type="spellStart"/>
      <w:r>
        <w:t>orthomosaïques</w:t>
      </w:r>
      <w:proofErr w:type="spellEnd"/>
      <w:r>
        <w:t xml:space="preserve"> : des images géoréférencées au format </w:t>
      </w:r>
      <w:proofErr w:type="spellStart"/>
      <w:r>
        <w:t>GeoTIFF</w:t>
      </w:r>
      <w:proofErr w:type="spellEnd"/>
      <w:r>
        <w:t>, produites par un traitement photogrammétrique externe (</w:t>
      </w:r>
      <w:proofErr w:type="spellStart"/>
      <w:r>
        <w:t>WebODM</w:t>
      </w:r>
      <w:proofErr w:type="spellEnd"/>
      <w:r>
        <w:t xml:space="preserve">) qui aligne l’ensemble des photos d’une mission entre elles puis les assemble en une unique image continue, de quelques centaines de mégaoctets à plusieurs gigaoctets selon la zone couverte. </w:t>
      </w:r>
      <w:proofErr w:type="spellStart"/>
      <w:r>
        <w:t>PixelOdyssey</w:t>
      </w:r>
      <w:proofErr w:type="spellEnd"/>
      <w:r>
        <w:t xml:space="preserve"> ne pilote pas cette reconstruction : il consomme le fichier qu’elle produit, sans contrôle direct sur ses paramètres.</w:t>
      </w:r>
    </w:p>
    <w:p w14:paraId="39D7B6AD" w14:textId="77777777" w:rsidR="00F85032" w:rsidRDefault="00000000">
      <w:pPr>
        <w:spacing w:after="200"/>
        <w:jc w:val="both"/>
      </w:pPr>
      <w:r>
        <w:t>Les annotations, elles, sont des masques de segmentation polygonaux, produits lot par lot — un lot correspondant à une session de vol sur une zone — dans un référentiel local de sous-classes propre à chaque lot. Cette hétérogénéité de départ n’est pas un défaut à corriger mais une donnée de fait à intégrer dans l’architecture : c’est tout l’objet de la section suivante.</w:t>
      </w:r>
    </w:p>
    <w:p w14:paraId="2387CA9D" w14:textId="77777777" w:rsidR="00F85032" w:rsidRDefault="00000000">
      <w:pPr>
        <w:spacing w:after="200"/>
        <w:jc w:val="both"/>
      </w:pPr>
      <w:r>
        <w:t xml:space="preserve">Une limite connue mais non encore quantifiée mérite d’être mentionnée ici par souci d’honnêteté méthodologique : seules les trois bandes RGB des </w:t>
      </w:r>
      <w:proofErr w:type="spellStart"/>
      <w:r>
        <w:t>GeoTIFF</w:t>
      </w:r>
      <w:proofErr w:type="spellEnd"/>
      <w:r>
        <w:t xml:space="preserve"> sont conservées au chargement, toute bande supplémentaire (canal alpha, proche-infrarouge) étant explicitement ignorée. La perte réelle que cela représente n’est avérée que si les mosaïques actuelles embarquent effectivement une telle bande au-delà du RGB — un point qui reste à vérifier (section 5).</w:t>
      </w:r>
    </w:p>
    <w:p w14:paraId="2B74B29E" w14:textId="77777777" w:rsidR="00F85032" w:rsidRDefault="00000000">
      <w:pPr>
        <w:pStyle w:val="Titre2"/>
      </w:pPr>
      <w:r>
        <w:t>3.2 Construire un référentiel de catégories qui tienne la route</w:t>
      </w:r>
    </w:p>
    <w:p w14:paraId="36F5191D" w14:textId="77777777" w:rsidR="00F85032" w:rsidRDefault="00000000">
      <w:pPr>
        <w:spacing w:after="200"/>
        <w:jc w:val="both"/>
      </w:pPr>
      <w:r>
        <w:t>Le choix le plus structurant de cette étape est aussi le plus simple à énoncer : les catégories de déchets sont définies par FORME plutôt que par matière. Une catégorie n’est isolée que si sa silhouette est récurrente et suffisamment représentée dans les données ; à défaut, elle rejoint une catégorie fourre-tout. Ce choix découle directement de la nature même d’un modèle de segmentation, qui apprend à reconnaître des motifs visuels et spatiaux — la forme — bien plus naturellement qu’une propriété de composition chimique invisible à l’œil.</w:t>
      </w:r>
    </w:p>
    <w:p w14:paraId="73D12C79" w14:textId="77777777" w:rsidR="00F85032" w:rsidRDefault="00000000">
      <w:pPr>
        <w:spacing w:after="200"/>
        <w:jc w:val="both"/>
      </w:pPr>
      <w:r>
        <w:t xml:space="preserve">Sept catégories sont retenues aujourd’hui : bouteilles, tongs, cagettes, bouées et flotteurs (regroupés faute d’exemples suffisants pour les distinguer), cordage et filets, bidons, et une catégorie fourre-tout qui concentre à elle seule l’essentiel des instances annotées — 2528 instances sur environ 3361, soit un peu plus de 75 % du total. Deux catégories ont d’ailleurs été retirées après diagnostic plutôt que forcées dans le référentiel : une classe de petits objets rigides, écartée pour une limite physique de résolution de capture plutôt qu’un manque de données ou de capacité du modèle, et une classe ambiguë, </w:t>
      </w:r>
      <w:proofErr w:type="gramStart"/>
      <w:r>
        <w:t>un temps fusionnée</w:t>
      </w:r>
      <w:proofErr w:type="gramEnd"/>
      <w:r>
        <w:t xml:space="preserve"> dans le fourre-tout puis réexclue car devenue un aimant à confusion pour plusieurs autres catégories.</w:t>
      </w:r>
    </w:p>
    <w:p w14:paraId="3AA40DFA" w14:textId="77777777" w:rsidR="00F85032" w:rsidRDefault="00000000">
      <w:pPr>
        <w:spacing w:after="200"/>
        <w:jc w:val="both"/>
      </w:pPr>
      <w:r>
        <w:t>Pour absorber l’hétérogénéité des référentiels locaux évoquée en 3.1 sans jamais toucher au code, une table de correspondance unique associe, lot par lot, chaque nom local à une catégorie cible ou à une exclusion. Ajouter un lot ou une sous-classe n’exige jamais de modification du pipeline lui-même, seulement une extension de cette table — c’est directement ce qui rend l’architecture capable d’encaisser la croissance du référentiel mentionnée en section 1.</w:t>
      </w:r>
    </w:p>
    <w:p w14:paraId="42B8F893" w14:textId="77777777" w:rsidR="00F85032" w:rsidRDefault="00000000">
      <w:pPr>
        <w:pStyle w:val="Titre2"/>
      </w:pPr>
      <w:r>
        <w:t>3.3 Le pipeline d’entraînement, étape par étape</w:t>
      </w:r>
    </w:p>
    <w:p w14:paraId="4D25078D" w14:textId="77777777" w:rsidR="00F85032" w:rsidRDefault="00000000">
      <w:pPr>
        <w:spacing w:after="200"/>
        <w:jc w:val="both"/>
      </w:pPr>
      <w:r>
        <w:t xml:space="preserve">Avant toute transformation, un contrôle de cohérence non destructif vérifie le nommage, la résolution des classes vers le référentiel commun, la validité géométrique des annotations et l’absence de doublons </w:t>
      </w:r>
      <w:r>
        <w:lastRenderedPageBreak/>
        <w:t>d’annotation. Vient ensuite la répartition entre les trois ensembles d’entraînement, de validation et de test décrits en section 2.2 — mais PAR LOT plutôt que par un tirage global sur l’ensemble des images, pour qu’un petit lot ne soit jamais exclu par hasard de l’un des trois ensembles, et surtout PAR IDENTITÉ d’image plutôt que par tirage aléatoire à chaque run : ajouter des photos à une zone déjà couverte ne fait ainsi jamais migrer une image déjà répartie d’un ensemble à un autre, ce qui serait revenu à briser silencieusement la comparabilité entre essais successifs.</w:t>
      </w:r>
    </w:p>
    <w:p w14:paraId="209F987F" w14:textId="77777777" w:rsidR="00F85032" w:rsidRDefault="00000000">
      <w:pPr>
        <w:spacing w:after="200"/>
        <w:jc w:val="both"/>
      </w:pPr>
      <w:r>
        <w:t xml:space="preserve">L’étape d’augmentation proprement dite reste, à ce stade du pipeline de préparation, un passe-plat : le vrai travail d’augmentation se fait plus loin, au moment de l’entraînement lui-même, via les réglages natifs du </w:t>
      </w:r>
      <w:proofErr w:type="spellStart"/>
      <w:r>
        <w:t>framework</w:t>
      </w:r>
      <w:proofErr w:type="spellEnd"/>
      <w:r>
        <w:t xml:space="preserve"> — c’est là qu’intervient l’augmentation nadir détaillée en 3.5.</w:t>
      </w:r>
    </w:p>
    <w:p w14:paraId="25AA05AC" w14:textId="77777777" w:rsidR="00F85032" w:rsidRDefault="00000000">
      <w:pPr>
        <w:spacing w:after="200"/>
        <w:jc w:val="both"/>
      </w:pPr>
      <w:r>
        <w:t>Vient enfin le tuilage, qui répond directement à la contrainte de résolution d’entrée évoquée en section 2.3 : chaque image parente est découpée en tuiles de taille fixe, 640 par 640 pixels, avec un recouvrement de 256 pixels entre tuiles voisines pour qu’un objet à cheval sur une frontière apparaisse malgré tout entier sur au moins une tuile. Un filtre écarte les tuiles de bordure noire issues du redressement des images sources. Cette étape a un revers connu, documenté en section 3.8 : la garantie de complétude ne tient que si la largeur et la hauteur de l’objet ne dépassent pas ces 256 pixels de recouvrement — une limite qui touche vraisemblablement en partie le cordage, filiforme et souvent allongé, sans que l’ampleur en ait encore été chiffrée.</w:t>
      </w:r>
    </w:p>
    <w:p w14:paraId="06A8608B" w14:textId="77777777" w:rsidR="00F85032" w:rsidRDefault="00000000">
      <w:pPr>
        <w:spacing w:after="200"/>
        <w:jc w:val="both"/>
      </w:pPr>
      <w:r>
        <w:t>Au bout de ce pipeline, l’entraînement proprement dit produit des poids de modèle accompagnés d’un rapport détaillé par catégorie sur les ensembles de validation et de test, complétés par des outils de comparaison d’essais et des outils de relecture qui permettent de corriger la vérité terrain à partir des erreurs du modèle — sans jamais toucher au jeu de test au-delà d’une passe de correction volontairement plus stricte que pour le reste des données.</w:t>
      </w:r>
    </w:p>
    <w:p w14:paraId="048C6BCC" w14:textId="77777777" w:rsidR="00F85032" w:rsidRDefault="00000000">
      <w:pPr>
        <w:pStyle w:val="Titre2"/>
      </w:pPr>
      <w:r>
        <w:t>3.4 Un choix d’architecture assumé</w:t>
      </w:r>
    </w:p>
    <w:p w14:paraId="1A102689" w14:textId="77777777" w:rsidR="00F85032" w:rsidRDefault="00000000">
      <w:pPr>
        <w:spacing w:after="200"/>
        <w:jc w:val="both"/>
      </w:pPr>
      <w:r>
        <w:t>Deux questions d’architecture se sont posées avec une acuité particulière : la taille du modèle, et le nombre de catégories à distinguer simultanément.</w:t>
      </w:r>
    </w:p>
    <w:p w14:paraId="78A31CCC" w14:textId="77777777" w:rsidR="00F85032" w:rsidRDefault="00000000">
      <w:pPr>
        <w:spacing w:after="200"/>
        <w:jc w:val="both"/>
      </w:pPr>
      <w:r>
        <w:t xml:space="preserve">Sur la taille, la logique décrite en section 2.3 est appliquée sans détour : l’architecture nano sert de laboratoire économique pour les essais méthodologiques — c’est elle qui a permis de tester rapidement, et à plusieurs reprises, les leviers de rééquilibrage décrits en 3.6 — tandis que l’architecture </w:t>
      </w:r>
      <w:proofErr w:type="spellStart"/>
      <w:r>
        <w:t>small</w:t>
      </w:r>
      <w:proofErr w:type="spellEnd"/>
      <w:r>
        <w:t>, plus lourde mais plus précise, est réservée au modèle finalement retenu pour la production.</w:t>
      </w:r>
    </w:p>
    <w:p w14:paraId="2494C5CE" w14:textId="77777777" w:rsidR="00F85032" w:rsidRDefault="00000000">
      <w:pPr>
        <w:spacing w:after="200"/>
        <w:jc w:val="both"/>
      </w:pPr>
      <w:r>
        <w:t>Sur le nombre de catégories, le projet a comparé une configuration MONO-catégorie, qui ne distingue plus les sept classes entre elles mais détecte simplement « un déchet », à une configuration MULTI-catégorie, qui conserve la distinction fine. Sur leurs tests réservés respectifs, la configuration mono-catégorie atteint un F1 de 53,2 %, contre 39,0 % pour la configuration multi-catégorie. Ce n’est cependant pas présenté comme un verdict définitif en faveur de la première : c’est un choix d’usage, la configuration mono-catégorie répondant mieux à un besoin de comptage et de cartographie rapide, la configuration multi-catégorie restant nécessaire dès qu’on veut distinguer les familles de déchets entre elles. Les deux sont d’ailleurs conservées côte à côte dans le registre de modèles de production (section 3.4bis / annexe correspondante du rapport de bilan).</w:t>
      </w:r>
    </w:p>
    <w:p w14:paraId="7A7547E0" w14:textId="77777777" w:rsidR="00F85032" w:rsidRDefault="00000000">
      <w:pPr>
        <w:pStyle w:val="Titre2"/>
      </w:pPr>
      <w:r>
        <w:t>3.5 Corriger la vue du monde du modèle : l’augmentation nadir</w:t>
      </w:r>
    </w:p>
    <w:p w14:paraId="005346A1" w14:textId="77777777" w:rsidR="00F85032" w:rsidRDefault="00000000">
      <w:pPr>
        <w:spacing w:after="200"/>
        <w:jc w:val="both"/>
      </w:pPr>
      <w:r>
        <w:t xml:space="preserve">Les réglages d’augmentation par défaut de la plupart des </w:t>
      </w:r>
      <w:proofErr w:type="spellStart"/>
      <w:r>
        <w:t>frameworks</w:t>
      </w:r>
      <w:proofErr w:type="spellEnd"/>
      <w:r>
        <w:t xml:space="preserve"> de vision par ordinateur supposent implicitement un horizon — une photo « normale », prise depuis le sol ou à hauteur d’homme, où le haut de l’image est toujours le ciel. Or les photos de </w:t>
      </w:r>
      <w:proofErr w:type="spellStart"/>
      <w:r>
        <w:t>PixelOdyssey</w:t>
      </w:r>
      <w:proofErr w:type="spellEnd"/>
      <w:r>
        <w:t xml:space="preserve"> sont des vues aériennes verticales, prises à la verticale du sol (des vues dites « nadir »), sans orientation privilégiée : un déchet peut apparaître dans n’importe quelle rotation selon l’angle exact du drone au moment du cliché.</w:t>
      </w:r>
    </w:p>
    <w:p w14:paraId="15C9317C" w14:textId="77777777" w:rsidR="00F85032" w:rsidRDefault="00000000">
      <w:pPr>
        <w:spacing w:after="200"/>
        <w:jc w:val="both"/>
      </w:pPr>
      <w:r>
        <w:t xml:space="preserve">La réponse a été d’activer, en plus du retournement horizontal déjà standard, une rotation aléatoire sur l’ensemble du cercle et un retournement vertical. Ce n’est pas un levier de rééquilibrage des classes comme </w:t>
      </w:r>
      <w:r>
        <w:lastRenderedPageBreak/>
        <w:t xml:space="preserve">ceux discutés en 3.6 : c’est un correctif géométrique considéré comme non négociable, parce qu’il corrige un désaccord entre la géométrie réelle des données et une hypothèse implicite du </w:t>
      </w:r>
      <w:proofErr w:type="spellStart"/>
      <w:r>
        <w:t>framework</w:t>
      </w:r>
      <w:proofErr w:type="spellEnd"/>
      <w:r>
        <w:t>, plutôt qu’un déséquilibre statistique entre catégories. Son effet a d’ailleurs été mesuré directement dans la comparaison des configurations mono-catégorie (section 3.4) : une configuration sans cette augmentation nadir plafonne à un F1 de 46,2 %, contre 53,2 % pour la configuration retenue qui l’intègre.</w:t>
      </w:r>
    </w:p>
    <w:p w14:paraId="627C0EDB" w14:textId="77777777" w:rsidR="00F85032" w:rsidRDefault="00000000">
      <w:pPr>
        <w:pStyle w:val="Titre2"/>
      </w:pPr>
      <w:r>
        <w:t>3.6 Rééquilibrer les classes : quatre pistes, quatre échecs instructifs</w:t>
      </w:r>
    </w:p>
    <w:p w14:paraId="4C52C13B" w14:textId="77777777" w:rsidR="00F85032" w:rsidRDefault="00000000">
      <w:pPr>
        <w:spacing w:after="200"/>
        <w:jc w:val="both"/>
      </w:pPr>
      <w:r>
        <w:t xml:space="preserve">La catégorie fourre-tout domine très largement le référentiel annoté (environ 75 % des instances), un déséquilibre entier entre catégories qui pourrait, en théorie, pousser un modèle à privilégier systématiquement la catégorie majoritaire au détriment des catégories rares. Quatre leviers de rééquilibrage ont été testés pour y répondre, chacun en isolant une seule variable à la fois contre une même configuration de référence, conformément à la règle de comparabilité posée en section 2.2 : le collage d’instances rares dans d’autres images (« copy-paste »), la repondération de la fonction de perte par classe, le mélange d’images (« </w:t>
      </w:r>
      <w:proofErr w:type="spellStart"/>
      <w:r>
        <w:t>mixup</w:t>
      </w:r>
      <w:proofErr w:type="spellEnd"/>
      <w:r>
        <w:t xml:space="preserve"> »), et la désactivation de la fusion des masques superposés.</w:t>
      </w:r>
    </w:p>
    <w:p w14:paraId="1DCBC00A" w14:textId="77777777" w:rsidR="00F85032" w:rsidRDefault="00000000">
      <w:pPr>
        <w:spacing w:after="200"/>
        <w:jc w:val="both"/>
      </w:pPr>
      <w:r>
        <w:t xml:space="preserve">Le résultat, honnête plutôt que flatteur, </w:t>
      </w:r>
      <w:proofErr w:type="gramStart"/>
      <w:r>
        <w:t>est qu’AUCUN</w:t>
      </w:r>
      <w:proofErr w:type="gramEnd"/>
      <w:r>
        <w:t xml:space="preserve"> de ces quatre leviers n’apporte de gain net à la fois en précision et en rappel. Le mélange d’images améliore la précision macro de 3,7 points mais dégrade le rappel macro de 3,2 points. La repondération de la perte améliore la précision macro de 2,7 points mais coûte 7,9 points de rappel macro. Le collage d’instances dégrade à la fois la précision globale (−8,4 points) et le rappel macro (−3,8 points). Seule la désactivation de la fusion des masques superposés améliore franchement le rappel — +13,9 points sur la catégorie la plus concernée, à Santa Luzia — mais au prix de −20,5 points de précision macro sur ce même site : un compromis jugé trop coûteux pour être adopté en l’état, mais une piste jugée réelle plutôt que définitivement écartée, qui mériterait un examen qualitatif plus poussé (section 5).</w:t>
      </w:r>
    </w:p>
    <w:p w14:paraId="2C92FDAD" w14:textId="77777777" w:rsidR="00F85032" w:rsidRDefault="00000000">
      <w:pPr>
        <w:spacing w:after="200"/>
        <w:jc w:val="both"/>
      </w:pPr>
      <w:r>
        <w:t>Ces quatre résultats négatifs ne sont pas un échec du projet : ils sont la preuve, précisément, que la méthode de comparaison à variable unique fonctionne — sans elle, n’importe lequel de ces quatre essais aurait pu être présenté à tort comme une amélioration en ne regardant qu’une seule métrique.</w:t>
      </w:r>
    </w:p>
    <w:p w14:paraId="1E1A989C" w14:textId="77777777" w:rsidR="00F85032" w:rsidRDefault="00000000">
      <w:pPr>
        <w:pStyle w:val="Titre2"/>
      </w:pPr>
      <w:r>
        <w:t>3.7 Mesurer honnêtement : la méthodologie d’évaluation</w:t>
      </w:r>
    </w:p>
    <w:p w14:paraId="7D5D6C70" w14:textId="77777777" w:rsidR="00F85032" w:rsidRDefault="00000000">
      <w:pPr>
        <w:spacing w:after="200"/>
        <w:jc w:val="both"/>
      </w:pPr>
      <w:r>
        <w:t>Mesurer la performance d’un modèle de détection suppose de choisir une métrique qui résume, en un nombre, un compromis entre deux erreurs de nature différente : la précision, qui pénalise les fausses alertes (un modèle qui voit des déchets partout), et le rappel, qui pénalise les détections manquées (un modèle trop prudent qui en laisse passer). Le F1, moyenne harmonique de ces deux quantités, a été ajouté au rapport et au comparateur d’essais pour donner un résumé unique et comparable d’un essai à l’autre plutôt que de devoir arbitrer visuellement entre deux courbes. Une variante, le F2, qui donnerait plus de poids au rappel — plus proche de la priorité réelle du projet, où manquer un déchet coûte sans doute plus cher qu’une fausse alerte — reste une piste ouverte plutôt qu’implémentée à ce jour.</w:t>
      </w:r>
    </w:p>
    <w:p w14:paraId="041607BE" w14:textId="77777777" w:rsidR="00F85032" w:rsidRDefault="00000000">
      <w:pPr>
        <w:spacing w:after="200"/>
        <w:jc w:val="both"/>
      </w:pPr>
      <w:r>
        <w:t xml:space="preserve">Cette section n’aurait pas de sens sans mentionner les pièges de lecture rencontrés, et corrigés, au fil des comparaisons : une taxonomie embarquée directement dans les poids d’un modèle plus ancien, qui aurait silencieusement réinterprété les identifiants de classe d’un référentiel devenu incompatible si un garde-fou automatique n’avait pas été ajouté pour détecter ce cas ; une divergence entre le seuil de confiance fixe utilisé par la matrice de confusion et le seuil optimal au sens du F1 utilisé par le détail précision/rappel par classe — capable de faire lire un rappel de 0 % sur une catégorie qui affichait en réalité 50 % à un autre seuil ; un bug ponctuel produisant une matrice de confusion entièrement à zéro ; la confusion possible entre une moyenne macro (qui traite chaque catégorie à égalité) et une moyenne globale (dominée par les catégories les plus fréquentes) ; et la discipline d’un identifiant de version du jeu de données (le « </w:t>
      </w:r>
      <w:proofErr w:type="spellStart"/>
      <w:r>
        <w:t>fingerprint</w:t>
      </w:r>
      <w:proofErr w:type="spellEnd"/>
      <w:r>
        <w:t xml:space="preserve"> »), pour ne jamais comparer deux essais qui, en réalité, n’auraient pas été évalués sur exactement la même donnée.</w:t>
      </w:r>
    </w:p>
    <w:p w14:paraId="5C33ABA9" w14:textId="77777777" w:rsidR="00F85032" w:rsidRDefault="00000000">
      <w:pPr>
        <w:pStyle w:val="Titre2"/>
      </w:pPr>
      <w:r>
        <w:t>3.8 Ce que les chiffres disent aujourd’hui</w:t>
      </w:r>
    </w:p>
    <w:p w14:paraId="454D4F9B" w14:textId="77777777" w:rsidR="00F85032" w:rsidRDefault="00000000">
      <w:pPr>
        <w:spacing w:after="200"/>
        <w:jc w:val="both"/>
      </w:pPr>
      <w:r>
        <w:lastRenderedPageBreak/>
        <w:t>Sur le test réservé du modèle multi-catégorie — 54 images sur 535, soit 10,1 % du jeu de données, jamais montrées pendant l’entraînement — la précision macro atteint 43,8 %, le rappel macro 36,3 %, le mAP50 32,6 % et le mAP50-95 20,8 %. Deux exceptions structurelles sont clairement identifiées plutôt que noyées dans une moyenne : la catégorie retirée pour limite physique de résolution évoquée en 3.2, et le cordage et les filets, pénalisés par une forte variabilité de forme plutôt que de taille.</w:t>
      </w:r>
    </w:p>
    <w:p w14:paraId="41F3C5A6" w14:textId="77777777" w:rsidR="00F85032" w:rsidRDefault="00000000">
      <w:pPr>
        <w:spacing w:after="200"/>
        <w:jc w:val="both"/>
      </w:pPr>
      <w:r>
        <w:t xml:space="preserve">Isolé sur le seul site de Santa Luzia, le rappel macro chute à 23,3 %, contre 36,3 % sur le test général — concentré sur deux catégories qui tombent à 0 % de rappel sur ce site précisément, avec pour hypothèse un écart d’apparence lié au sable et à la lumière propres à ce site, plutôt qu’un problème général de généralisation : les catégories majoritaires, elles, transfèrent à moins de cinq points d’écart entre sites. Ce diagnostic est d’ailleurs éclairé par la composition même du </w:t>
      </w:r>
      <w:proofErr w:type="spellStart"/>
      <w:r>
        <w:t>dataset</w:t>
      </w:r>
      <w:proofErr w:type="spellEnd"/>
      <w:r>
        <w:t xml:space="preserve"> : trois catégories minoritaires du référentiel global sont presque exclusivement issues de Santa Luzia, ce qui explique en partie pourquoi elles transfèrent mal ailleurs.</w:t>
      </w:r>
    </w:p>
    <w:p w14:paraId="3FF25110" w14:textId="77777777" w:rsidR="00F85032" w:rsidRDefault="00000000">
      <w:pPr>
        <w:spacing w:after="200"/>
        <w:jc w:val="both"/>
      </w:pPr>
      <w:r>
        <w:t>Côté production, le modèle mono-catégorie retenu, comparé à sept autres configurations sur le même test réservé, atteint 53,8 % de précision, 52,7 % de rappel, un F1 de 53,2 % et un mAP50-95 de 31,3 % — devant la meilleure alternative à architecture plus légère (F1 de 51,9 %) et nettement devant une configuration sans augmentation nadir (F1 de 46,2 %, cf. 3.5) ou la configuration de départ (F1 de 45,5 %).</w:t>
      </w:r>
    </w:p>
    <w:p w14:paraId="4E1CB1E5" w14:textId="77777777" w:rsidR="00F85032" w:rsidRDefault="00000000">
      <w:pPr>
        <w:spacing w:after="200"/>
        <w:jc w:val="both"/>
      </w:pPr>
      <w:r>
        <w:t xml:space="preserve">Une dernière décision de méthode mérite d’être racontée plutôt que simplement énoncée : le fine-tuning incrémental — reprendre l’entraînement d’un modèle existant à mesure que de nouvelles données arrivent, plutôt que de tout réentraîner depuis le début — a été explicitement écarté. Non par principe, mais parce qu’un réentraînement complet du modèle multi-catégorie ne prend qu’environ 29 minutes sur la machine utilisée pour le projet (79 époques sur 100 avant arrêt anticipé) : ce n’est pas un goulot d’étranglement, même avec la croissance prévue du </w:t>
      </w:r>
      <w:proofErr w:type="spellStart"/>
      <w:r>
        <w:t>dataset</w:t>
      </w:r>
      <w:proofErr w:type="spellEnd"/>
      <w:r>
        <w:t>, alors qu’un modèle repris depuis un point antérieur perdrait précisément la comparabilité stricte que toute la méthode décrite dans cette section s’est donné les moyens de garantir.</w:t>
      </w:r>
    </w:p>
    <w:p w14:paraId="3DE18B4A" w14:textId="77777777" w:rsidR="00F85032" w:rsidRDefault="00000000">
      <w:pPr>
        <w:pStyle w:val="Titre1"/>
        <w:pageBreakBefore/>
      </w:pPr>
      <w:r>
        <w:lastRenderedPageBreak/>
        <w:t>4. Du modèle au terrain : le pipeline de production</w:t>
      </w:r>
    </w:p>
    <w:p w14:paraId="10A95B58" w14:textId="77777777" w:rsidR="00F85032" w:rsidRDefault="00000000">
      <w:pPr>
        <w:spacing w:after="200"/>
        <w:jc w:val="both"/>
      </w:pPr>
      <w:r>
        <w:t>Une fois un modèle entraîné et choisi manuellement dans le registre de production, un second chantier prend le relais, avec une priorité différente de celle du chantier d’entraînement : non plus la rigueur comparative, mais la robustesse de terrain — la capacité à tourner hors ligne, en un temps raisonnable, sur des données réelles imparfaites.</w:t>
      </w:r>
    </w:p>
    <w:p w14:paraId="4C22010E" w14:textId="77777777" w:rsidR="00F85032" w:rsidRDefault="00000000">
      <w:pPr>
        <w:pStyle w:val="Titre2"/>
      </w:pPr>
      <w:r>
        <w:t>4.1 Deux façons d’entrer dans le pipeline</w:t>
      </w:r>
    </w:p>
    <w:p w14:paraId="4F8F57DE" w14:textId="77777777" w:rsidR="00F85032" w:rsidRDefault="00000000">
      <w:pPr>
        <w:spacing w:after="200"/>
        <w:jc w:val="both"/>
      </w:pPr>
      <w:r>
        <w:t>Le pipeline de production accepte deux types d’entrée, qui partagent le même moteur d’inférence mais divergent sur la façon de situer chaque détection dans l’espace. Un lot de photos brutes peut être traité immédiatement après la mission, sans outil tiers, sans connexion réseau — pensé pour l’expédition. La géolocalisation y est directe, à partir des métadonnées de vol de chaque photo (position GPS, altitude, cap), sous une hypothèse de terrain plat. La contrepartie est une précision GPS grand public de l’ordre de 1,5 mètre sans correction RTK — un ordre de grandeur au-dessus de l’espacement typique entre deux déchets proches, ce qui impose un regroupement des doublons entre photos qui se chevauchent (section 4.3).</w:t>
      </w:r>
    </w:p>
    <w:p w14:paraId="492ABB10" w14:textId="77777777" w:rsidR="00F85032" w:rsidRDefault="00000000">
      <w:pPr>
        <w:spacing w:after="200"/>
        <w:jc w:val="both"/>
      </w:pPr>
      <w:r>
        <w:t xml:space="preserve">Une </w:t>
      </w:r>
      <w:proofErr w:type="spellStart"/>
      <w:r>
        <w:t>orthomosaïque</w:t>
      </w:r>
      <w:proofErr w:type="spellEnd"/>
      <w:r>
        <w:t xml:space="preserve"> déjà reconstituée, à l’inverse, a déjà résolu sa géométrie d’ensemble au moment de sa construction (section 3.1) : un seul passage d’inférence suffit, chaque déchet n’apparaît qu’une fois, sans regroupement de doublons nécessaire. La contrepartie est le coût et le délai de cette reconstruction externe, incompatibles avec un usage en temps réel sur le terrain. Le rythme d’inférence mesuré, environ cinq tuiles de 640 par 640 pixels par seconde sans accélération GPU dédiée, situe le traitement d’une </w:t>
      </w:r>
      <w:proofErr w:type="spellStart"/>
      <w:r>
        <w:t>orthomosaïque</w:t>
      </w:r>
      <w:proofErr w:type="spellEnd"/>
      <w:r>
        <w:t xml:space="preserve"> d’un peu plus de mille tuiles à trois ou quatre minutes.</w:t>
      </w:r>
    </w:p>
    <w:p w14:paraId="07571F5F" w14:textId="77777777" w:rsidR="00F85032" w:rsidRDefault="00000000">
      <w:pPr>
        <w:pStyle w:val="Titre2"/>
      </w:pPr>
      <w:r>
        <w:t>4.2 Situer une détection dans l’espace</w:t>
      </w:r>
    </w:p>
    <w:p w14:paraId="345B28B9" w14:textId="77777777" w:rsidR="00F85032" w:rsidRDefault="00000000">
      <w:pPr>
        <w:spacing w:after="200"/>
        <w:jc w:val="both"/>
      </w:pPr>
      <w:r>
        <w:t>Quel que soit le point d’entrée, un inventaire préalable écarte toute image aux métadonnées de vol illisibles ou à l’inclinaison caméra hors tolérance, avec une raison explicite associée à chaque exclusion — plutôt que de laisser une position mal calculée fausser silencieusement la carte finale. En mode lot de photos, l’extraction des métadonnées de vol est structurée par constructeur de drone plutôt que codée en dur pour un seul modèle de capteur, ce qui laisse la porte ouverte à l’ajout d’un nouveau matériel — dès qu’un premier fichier réel de ce matériel aura été reçu, ses spécifications n’étant jamais devinées à l’avance.</w:t>
      </w:r>
    </w:p>
    <w:p w14:paraId="2836174D" w14:textId="77777777" w:rsidR="00F85032" w:rsidRDefault="00000000">
      <w:pPr>
        <w:pStyle w:val="Titre2"/>
      </w:pPr>
      <w:r>
        <w:t>4.3 Le problème du doublon</w:t>
      </w:r>
    </w:p>
    <w:p w14:paraId="3E28B37F" w14:textId="77777777" w:rsidR="00F85032" w:rsidRDefault="00000000">
      <w:pPr>
        <w:spacing w:after="200"/>
        <w:jc w:val="both"/>
      </w:pPr>
      <w:r>
        <w:t>En mode lot de photos, deux photos voisines qui se chevauchent peuvent capturer le même déchet, qu’il faut alors regrouper pour ne pas le compter deux fois. La première approche testée regroupe les détections sur la base de leur forme géométrique reprojetée au sol, plutôt que sur une simple distance GPS entre positions — la précision de positionnement grand public évoquée en 4.1 rendrait une distance de points, seule, insuffisante pour distinguer deux photos du même objet de deux objets réellement distincts.</w:t>
      </w:r>
    </w:p>
    <w:p w14:paraId="3A7AF6C3" w14:textId="77777777" w:rsidR="00F85032" w:rsidRDefault="00000000">
      <w:pPr>
        <w:spacing w:after="200"/>
        <w:jc w:val="both"/>
      </w:pPr>
      <w:r>
        <w:t xml:space="preserve">Le diagnostic chiffré sur un batch réel de terrain (3044 détections brutes sur 34 photos) est sans détour : l’approche géométrique seule ne regroupe EFFECTIVEMENT AUCUNE détection au seuil de fonctionnement habituel, et ne descend jamais sous environ quatre sous-groupes pour un même objet réel, même en poussant le seuil à une valeur extrême. La cause est structurelle — l’absence d’un ajustement de faisceaux entre les photos, contrairement à ce que fait la reconstruction d’une </w:t>
      </w:r>
      <w:proofErr w:type="spellStart"/>
      <w:r>
        <w:t>orthomosaïque</w:t>
      </w:r>
      <w:proofErr w:type="spellEnd"/>
      <w:r>
        <w:t xml:space="preserve"> — et non un défaut d’implémentation qu’il suffirait de corriger.</w:t>
      </w:r>
    </w:p>
    <w:p w14:paraId="1A5978B3" w14:textId="77777777" w:rsidR="00F85032" w:rsidRDefault="00000000">
      <w:pPr>
        <w:spacing w:after="200"/>
        <w:jc w:val="both"/>
      </w:pPr>
      <w:r>
        <w:t xml:space="preserve">Une option complémentaire a donc été mise au point, fondée cette fois sur la similarité visuelle des recadrages de chaque détection, mesurée par un modèle de similarité d’image pré-entraîné (DINOv2). Sur les mêmes exemples réels, la similarité cosinus mesurée se situe entre 0,55 et 0,76 pour un même objet confirmé, contre 0,40 à 0,44 pour un objet distinct mais proche dans l’espace — un écart net qui a permis de retenir un seuil de 0,5, combiné à un filtre de proximité de deux mètres. Cette option hybride, géométrie plus similarité visuelle, n’est cependant pas activée par défaut en production, pour préserver l’autonomie </w:t>
      </w:r>
      <w:r>
        <w:lastRenderedPageBreak/>
        <w:t xml:space="preserve">réseau en expédition : elle nécessite en effet de charger un modèle de similarité, ce qui suppose soit une connexion réseau, soit un </w:t>
      </w:r>
      <w:proofErr w:type="spellStart"/>
      <w:r>
        <w:t>pré-chargement</w:t>
      </w:r>
      <w:proofErr w:type="spellEnd"/>
      <w:r>
        <w:t xml:space="preserve"> avant la mission (section 4.5).</w:t>
      </w:r>
    </w:p>
    <w:p w14:paraId="7578270B" w14:textId="77777777" w:rsidR="00F85032" w:rsidRDefault="00000000">
      <w:pPr>
        <w:spacing w:after="200"/>
        <w:jc w:val="both"/>
      </w:pPr>
      <w:r>
        <w:t>Un défaut de performance qui bloquait cette étape hybride plus d’une heure sur un batch réel de plusieurs milliers de détections a par ailleurs été corrigé, ramenant ce traitement à moins d’une seconde — un correctif technique qui ne change rien au compromis d’activation par défaut, mais qui rend l’option réellement praticable quand elle est activée.</w:t>
      </w:r>
    </w:p>
    <w:p w14:paraId="1D7EBDCB" w14:textId="77777777" w:rsidR="00F85032" w:rsidRDefault="00000000">
      <w:pPr>
        <w:pStyle w:val="Titre2"/>
      </w:pPr>
      <w:r>
        <w:t>4.4 Un point d’entrée devenu unique</w:t>
      </w:r>
    </w:p>
    <w:p w14:paraId="2243E4B2" w14:textId="77777777" w:rsidR="00F85032" w:rsidRDefault="00000000">
      <w:pPr>
        <w:spacing w:after="200"/>
        <w:jc w:val="both"/>
      </w:pPr>
      <w:r>
        <w:t xml:space="preserve">Le pipeline de production dispose désormais d’un point d’entrée unifié (run_inference.py) : une seule commande accepte indifféremment un fichier </w:t>
      </w:r>
      <w:proofErr w:type="spellStart"/>
      <w:r>
        <w:t>GeoTIFF</w:t>
      </w:r>
      <w:proofErr w:type="spellEnd"/>
      <w:r>
        <w:t xml:space="preserve"> ou un dossier de photos, détecte automatiquement le mode à appliquer, et résout à la fois le modèle et SA taxonomie propre à partir du registre commun de modèles. La taxonomie n’est ainsi plus figée sur une configuration par défaut : elle suit désormais le modèle effectivement choisi, mono ou multi-catégorie. Une fois la carte produite, ce point d’entrée génère automatiquement un fichier de statistiques au format xlsx et un lot d’export compressé au format CVAT, sans qu’il soit plus nécessaire de relancer un script séparé pour chacun de ces deux livrables.</w:t>
      </w:r>
    </w:p>
    <w:p w14:paraId="21A9533D" w14:textId="77777777" w:rsidR="00F85032" w:rsidRDefault="00000000">
      <w:pPr>
        <w:spacing w:after="200"/>
        <w:jc w:val="both"/>
      </w:pPr>
      <w:r>
        <w:t xml:space="preserve">En mode </w:t>
      </w:r>
      <w:proofErr w:type="spellStart"/>
      <w:r>
        <w:t>orthomosaïque</w:t>
      </w:r>
      <w:proofErr w:type="spellEnd"/>
      <w:r>
        <w:t>, une étape de fusion des recouvrements entre fenêtres voisines (</w:t>
      </w:r>
      <w:proofErr w:type="spellStart"/>
      <w:r>
        <w:t>nms_merge</w:t>
      </w:r>
      <w:proofErr w:type="spellEnd"/>
      <w:r>
        <w:t xml:space="preserve">, utilisée dans les deux modes du pipeline) a révélé, lors du premier passage à l’échelle réelle de ce nouveau point d’entrée — une </w:t>
      </w:r>
      <w:proofErr w:type="spellStart"/>
      <w:r>
        <w:t>orthomosaïque</w:t>
      </w:r>
      <w:proofErr w:type="spellEnd"/>
      <w:r>
        <w:t xml:space="preserve"> complète, environ 18 000 détections brutes avant fusion sur près de 7220 fenêtres de 640 par 640 pixels — un défaut de performance analogue à celui déjà rencontré côté dédoublonnage inter-photos. La comparaison exhaustive de toutes les paires de détections d’une même classe, en boucle, a été remplacée par un index spatial (un </w:t>
      </w:r>
      <w:proofErr w:type="spellStart"/>
      <w:r>
        <w:t>STRtree</w:t>
      </w:r>
      <w:proofErr w:type="spellEnd"/>
      <w:r>
        <w:t>), ramenant le temps de fusion d’environ une heure, extrapolée à cette échelle, à moins d’une seconde — avec un résultat vérifié identique sur des cas de recouvrement volontaire.</w:t>
      </w:r>
    </w:p>
    <w:p w14:paraId="77EB0514" w14:textId="77777777" w:rsidR="00F85032" w:rsidRDefault="00000000">
      <w:pPr>
        <w:pStyle w:val="Titre2"/>
      </w:pPr>
      <w:r>
        <w:t>4.5 Résultats et limites</w:t>
      </w:r>
    </w:p>
    <w:p w14:paraId="0E2EB9C5" w14:textId="77777777" w:rsidR="00F85032" w:rsidRDefault="00000000">
      <w:pPr>
        <w:spacing w:after="200"/>
        <w:jc w:val="both"/>
      </w:pPr>
      <w:r>
        <w:t>Le pipeline tourne aujourd’hui de bout en bout sur des lots réels de terrain, avec une carte interactive fonctionnelle : bascule entre affichage des détections individuelles et vue de densité, recadrages consultables au clic, curseur de confiance côté client, fond satellite calibré pour ne jamais afficher un niveau de zoom au-delà de la résolution réellement disponible sur une zone isolée.</w:t>
      </w:r>
    </w:p>
    <w:p w14:paraId="31996474" w14:textId="77777777" w:rsidR="00F85032" w:rsidRDefault="00000000">
      <w:pPr>
        <w:spacing w:after="200"/>
        <w:jc w:val="both"/>
      </w:pPr>
      <w:r>
        <w:t xml:space="preserve">Les limites, elles, restent assumées plutôt que masquées. Le dédoublonnage inter-photos n’est pas résolu par défaut : un même déchet réel peut rester compté plusieurs fois en configuration standard, un compromis délibéré pour préserver l’autonomie réseau sur le terrain plutôt qu’une impasse technique. Deux pistes restent ouvertes pour lever ce compromis : rendre l’option hybride utilisable hors ligne en </w:t>
      </w:r>
      <w:proofErr w:type="spellStart"/>
      <w:r>
        <w:t>pré-chargeant</w:t>
      </w:r>
      <w:proofErr w:type="spellEnd"/>
      <w:r>
        <w:t xml:space="preserve"> son modèle avant la mission, ou explorer une mesure de similarité visuelle qui ne nécessiterait aucun modèle téléchargé. La convention utilisée pour interpréter le cap de la caméra n’a pas encore été confrontée à une vraie séquence de photos qui se chevauchent, et s’appuie pour l’instant sur la documentation générale du constructeur. Un seul modèle de capteur est pris en charge à ce jour ; un nouveau matériel ne pourra être intégré qu’après réception d’un premier fichier réel. Plusieurs seuils du pipeline — tolérance de regroupement géométrique, seuil de similarité visuelle, rayon de recherche des candidats — restent fondés sur un nombre limité d’exemples plutôt que sur une calibration systématique. Et l’hypothèse de terrain plat, jugée acceptable pour une carte de densité à l’échelle d’une plage, ne le serait pas pour un relevé topographique plus exigeant.</w:t>
      </w:r>
    </w:p>
    <w:p w14:paraId="64AF7E38" w14:textId="77777777" w:rsidR="00F85032" w:rsidRDefault="00000000">
      <w:pPr>
        <w:pStyle w:val="Titre1"/>
        <w:pageBreakBefore/>
      </w:pPr>
      <w:r>
        <w:lastRenderedPageBreak/>
        <w:t>5. Bilan et pistes ouvertes</w:t>
      </w:r>
    </w:p>
    <w:p w14:paraId="3B8A2082" w14:textId="77777777" w:rsidR="00F85032" w:rsidRDefault="00000000">
      <w:pPr>
        <w:spacing w:after="200"/>
        <w:jc w:val="both"/>
      </w:pPr>
      <w:r>
        <w:t>L’objectif de départ — construire une chaîne complète, de la photo drone à la carte de déchets exploitable, en tenant simultanément une méthode d’entraînement rigoureuse et comparable dans le temps et un pipeline de terrain robuste et autonome — est aujourd’hui atteint dans ses grandes lignes, avec des résultats mesurés et des limites clairement identifiées plutôt que dissimulées.</w:t>
      </w:r>
    </w:p>
    <w:p w14:paraId="3D0DDFDD" w14:textId="77777777" w:rsidR="00F85032" w:rsidRDefault="00000000">
      <w:pPr>
        <w:spacing w:after="200"/>
        <w:jc w:val="both"/>
      </w:pPr>
      <w:r>
        <w:t xml:space="preserve">Côté entraînement, un modèle de référence multi-catégorie (43,8 % de précision macro, 36,3 % de rappel macro, mAP50-95 de 20,8 % sur le test réservé) a des forces et des limites chiffrées et comprises ; un modèle à une seule catégorie, validé pour la production, atteint un F1 de 53,2 % sur son propre test réservé. Côté production, le pipeline fonctionne de bout en bout sur des données réelles, avec une carte interactive et deux problèmes de performance critiques résolus au fil du projet : le dédoublonnage visuel en mode lot de photos, ramené de plus d’une heure à moins d’une seconde, et plus récemment la fusion des recouvrements en mode </w:t>
      </w:r>
      <w:proofErr w:type="spellStart"/>
      <w:r>
        <w:t>orthomosaïque</w:t>
      </w:r>
      <w:proofErr w:type="spellEnd"/>
      <w:r>
        <w:t>, ramenée d’environ une heure extrapolée à moins d’une seconde également. Le projet a aussi acquis la capacité de faire grandir la donnée d’une zone déjà couverte, dans le temps, sans perturber les comparaisons déjà établies — une conséquence directe des choix d’architecture décrits en section 3.</w:t>
      </w:r>
    </w:p>
    <w:p w14:paraId="5851E372" w14:textId="77777777" w:rsidR="00F85032" w:rsidRDefault="00000000">
      <w:pPr>
        <w:spacing w:after="200"/>
        <w:jc w:val="both"/>
      </w:pPr>
      <w:r>
        <w:t>Les contraintes qui restent entières le sont tout autant en connaissance de cause. Le déséquilibre entre catégories, et la faiblesse persistante de deux d’entre elles, n’ont pas trouvé de solution actionnable parmi les quatre leviers testés (section 3.6) ; des pistes plus lourdes — échantillonnage pondéré par rareté, collage ciblé sur les zones denses — n’ont pas encore été engagées. Le dédoublonnage inter-photos n’est pas résolu par défaut, un compromis assumé plutôt qu’un point aveugle. Et l’estimation de masse, le troisième objectif du projet posé dès la section 1, reste au milieu de son cadrage : plusieurs calibrations empiriques — seuils de dédoublonnage, convention de cap caméra, équilibre des tuiles de fond — restent à consolider faute d’un volume d’essais suffisant à ce jour.</w:t>
      </w:r>
    </w:p>
    <w:p w14:paraId="588F752A" w14:textId="77777777" w:rsidR="00F85032" w:rsidRDefault="00000000">
      <w:pPr>
        <w:spacing w:after="200"/>
        <w:jc w:val="both"/>
      </w:pPr>
      <w:r>
        <w:t xml:space="preserve">Les pistes ouvertes qui se dégagent le plus clairement de ce parcours sont, côté entraînement, l’exécution d’un diagnostic déjà livré mais pas encore lancé sur l’équilibre des tuiles de fond, la mesure chiffrée de la distribution des tailles d’objet pour le cordage avant de décider d’augmenter le recouvrement de tuilage, et la poursuite de la calibration du modèle de conversion aire-vers-masse. Côté production, la validation de la convention de cap caméra sur une vraie séquence de photos qui se chevauchent, une décision sur la stratégie de dédoublonnage par défaut si le comptage exact des déchets devient un besoin prioritaire, et l’intégration d’un nouveau matériel de capture dès qu’un premier fichier réel sera disponible. Côté données sources, vérifier si les </w:t>
      </w:r>
      <w:proofErr w:type="spellStart"/>
      <w:r>
        <w:t>orthomosaïques</w:t>
      </w:r>
      <w:proofErr w:type="spellEnd"/>
      <w:r>
        <w:t xml:space="preserve"> actuelles embarquent réellement une bande au-delà du RGB avant de considérer la perte évoquée en 3.1 comme purement théorique, et construire une vue d’ensemble cartographique des trois sites de collecte si le besoin de comparaison inter-sites se confirme.</w:t>
      </w:r>
    </w:p>
    <w:p w14:paraId="128EA38D" w14:textId="77777777" w:rsidR="00F85032" w:rsidRDefault="00000000">
      <w:pPr>
        <w:spacing w:after="200"/>
        <w:jc w:val="both"/>
      </w:pPr>
      <w:r>
        <w:t xml:space="preserve">Plus généralement, une inspection visuelle ciblée des catégories et des sites </w:t>
      </w:r>
      <w:proofErr w:type="gramStart"/>
      <w:r>
        <w:t>les plus faibles reste recommandée</w:t>
      </w:r>
      <w:proofErr w:type="gramEnd"/>
      <w:r>
        <w:t xml:space="preserve"> avant de trancher définitivement les pistes de rééquilibrage actuellement en pause faute de gain net démontré — la section 3.6 aura montré, s’il en était besoin, qu’un résultat négatif rigoureusement mesuré vaut mieux qu’un résultat positif supposé.</w:t>
      </w:r>
    </w:p>
    <w:p w14:paraId="05252328" w14:textId="77777777" w:rsidR="00F85032" w:rsidRDefault="00000000">
      <w:pPr>
        <w:spacing w:after="200"/>
        <w:jc w:val="both"/>
      </w:pPr>
      <w:r>
        <w:t>Toutes les décisions détaillées ici, avec leur raisonnement complet et les essais qui n’ont mené nulle part, restent tracées dans le journal de décisions du projet, qui demeure la source de référence en cas de doute sur un choix ou un résultat. Le détail opérationnel du pipeline — pas à pas, avec les commandes réelles — fait l’objet des fiches techniques, destinées à évoluer indépendamment de ce rapport au fil des changements du code ; et le raisonnement propre au paramétrage du modèle, avec ses références à la littérature, fait l’objet d’un troisième document dédié.</w:t>
      </w:r>
    </w:p>
    <w:p w14:paraId="7CC25B38" w14:textId="77777777" w:rsidR="00F85032" w:rsidRDefault="00F85032">
      <w:pPr>
        <w:spacing w:after="300"/>
      </w:pPr>
    </w:p>
    <w:p w14:paraId="47325B32" w14:textId="77777777" w:rsidR="00F85032" w:rsidRDefault="00000000">
      <w:r>
        <w:rPr>
          <w:i/>
          <w:iCs/>
          <w:color w:val="5A5A5A"/>
          <w:sz w:val="20"/>
          <w:szCs w:val="20"/>
        </w:rPr>
        <w:t>Fin du document de base. Toutes les décisions détaillées ici, avec leur raisonnement complet, restent tracées dans le journal de décisions du projet, qui reste la source de référence en cas de doute sur un choix ou un résultat.</w:t>
      </w:r>
    </w:p>
    <w:sectPr w:rsidR="00F85032">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07DDB"/>
    <w:multiLevelType w:val="hybridMultilevel"/>
    <w:tmpl w:val="0F906F1C"/>
    <w:lvl w:ilvl="0" w:tplc="15968D0C">
      <w:start w:val="1"/>
      <w:numFmt w:val="bullet"/>
      <w:lvlText w:val="●"/>
      <w:lvlJc w:val="left"/>
      <w:pPr>
        <w:ind w:left="720" w:hanging="360"/>
      </w:pPr>
    </w:lvl>
    <w:lvl w:ilvl="1" w:tplc="6CE86A40">
      <w:start w:val="1"/>
      <w:numFmt w:val="bullet"/>
      <w:lvlText w:val="○"/>
      <w:lvlJc w:val="left"/>
      <w:pPr>
        <w:ind w:left="1440" w:hanging="360"/>
      </w:pPr>
    </w:lvl>
    <w:lvl w:ilvl="2" w:tplc="AEFC9592">
      <w:start w:val="1"/>
      <w:numFmt w:val="bullet"/>
      <w:lvlText w:val="■"/>
      <w:lvlJc w:val="left"/>
      <w:pPr>
        <w:ind w:left="2160" w:hanging="360"/>
      </w:pPr>
    </w:lvl>
    <w:lvl w:ilvl="3" w:tplc="747675FA">
      <w:start w:val="1"/>
      <w:numFmt w:val="bullet"/>
      <w:lvlText w:val="●"/>
      <w:lvlJc w:val="left"/>
      <w:pPr>
        <w:ind w:left="2880" w:hanging="360"/>
      </w:pPr>
    </w:lvl>
    <w:lvl w:ilvl="4" w:tplc="711C9E9A">
      <w:start w:val="1"/>
      <w:numFmt w:val="bullet"/>
      <w:lvlText w:val="○"/>
      <w:lvlJc w:val="left"/>
      <w:pPr>
        <w:ind w:left="3600" w:hanging="360"/>
      </w:pPr>
    </w:lvl>
    <w:lvl w:ilvl="5" w:tplc="FCA2726A">
      <w:start w:val="1"/>
      <w:numFmt w:val="bullet"/>
      <w:lvlText w:val="■"/>
      <w:lvlJc w:val="left"/>
      <w:pPr>
        <w:ind w:left="4320" w:hanging="360"/>
      </w:pPr>
    </w:lvl>
    <w:lvl w:ilvl="6" w:tplc="CA34D944">
      <w:start w:val="1"/>
      <w:numFmt w:val="bullet"/>
      <w:lvlText w:val="●"/>
      <w:lvlJc w:val="left"/>
      <w:pPr>
        <w:ind w:left="5040" w:hanging="360"/>
      </w:pPr>
    </w:lvl>
    <w:lvl w:ilvl="7" w:tplc="966AC520">
      <w:start w:val="1"/>
      <w:numFmt w:val="bullet"/>
      <w:lvlText w:val="●"/>
      <w:lvlJc w:val="left"/>
      <w:pPr>
        <w:ind w:left="5760" w:hanging="360"/>
      </w:pPr>
    </w:lvl>
    <w:lvl w:ilvl="8" w:tplc="03BA78FA">
      <w:start w:val="1"/>
      <w:numFmt w:val="bullet"/>
      <w:lvlText w:val="●"/>
      <w:lvlJc w:val="left"/>
      <w:pPr>
        <w:ind w:left="6480" w:hanging="360"/>
      </w:pPr>
    </w:lvl>
  </w:abstractNum>
  <w:abstractNum w:abstractNumId="1" w15:restartNumberingAfterBreak="0">
    <w:nsid w:val="7AB12085"/>
    <w:multiLevelType w:val="hybridMultilevel"/>
    <w:tmpl w:val="1FD8EDE2"/>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992248749">
    <w:abstractNumId w:val="0"/>
    <w:lvlOverride w:ilvl="0">
      <w:startOverride w:val="1"/>
    </w:lvlOverride>
  </w:num>
  <w:num w:numId="2" w16cid:durableId="21391032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032"/>
    <w:rsid w:val="00445DED"/>
    <w:rsid w:val="009172B5"/>
    <w:rsid w:val="00A534F3"/>
    <w:rsid w:val="00CC7E87"/>
    <w:rsid w:val="00F8503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1AED3"/>
  <w15:docId w15:val="{93518A6C-2634-4FA2-B420-ECF32D5E1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80" w:after="240"/>
      <w:outlineLvl w:val="0"/>
    </w:pPr>
    <w:rPr>
      <w:b/>
      <w:bCs/>
      <w:color w:val="1F5C4A"/>
      <w:sz w:val="32"/>
      <w:szCs w:val="32"/>
    </w:rPr>
  </w:style>
  <w:style w:type="paragraph" w:styleId="Titre2">
    <w:name w:val="heading 2"/>
    <w:uiPriority w:val="9"/>
    <w:unhideWhenUsed/>
    <w:qFormat/>
    <w:pPr>
      <w:spacing w:before="340" w:after="160"/>
      <w:outlineLvl w:val="1"/>
    </w:pPr>
    <w:rPr>
      <w:b/>
      <w:bCs/>
      <w:color w:val="2E2E2E"/>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115</TotalTime>
  <Pages>12</Pages>
  <Words>5957</Words>
  <Characters>32768</Characters>
  <Application>Microsoft Office Word</Application>
  <DocSecurity>0</DocSecurity>
  <Lines>273</Lines>
  <Paragraphs>77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VALLETTE Jame</cp:lastModifiedBy>
  <cp:revision>2</cp:revision>
  <dcterms:created xsi:type="dcterms:W3CDTF">2026-09-07T15:17:00Z</dcterms:created>
  <dcterms:modified xsi:type="dcterms:W3CDTF">2026-09-09T11:04:00Z</dcterms:modified>
</cp:coreProperties>
</file>