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A5A5A"/>
          <w:sz w:val="28"/>
          <w:szCs w:val="28"/>
        </w:rPr>
        <w:t xml:space="preserve">PLASTIC ODYSSEY</w:t>
      </w:r>
    </w:p>
    <w:p>
      <w:pPr>
        <w:spacing w:after="120"/>
        <w:jc w:val="center"/>
      </w:pPr>
      <w:r>
        <w:rPr>
          <w:b/>
          <w:bCs/>
          <w:color w:val="1F5C4A"/>
          <w:sz w:val="64"/>
          <w:szCs w:val="64"/>
        </w:rPr>
        <w:t xml:space="preserve">PixelOdyssey</w:t>
      </w:r>
    </w:p>
    <w:p>
      <w:pPr>
        <w:spacing w:after="60"/>
        <w:jc w:val="center"/>
      </w:pPr>
      <w:r>
        <w:rPr>
          <w:sz w:val="36"/>
          <w:szCs w:val="36"/>
        </w:rPr>
        <w:t xml:space="preserve">Rapport de bilan de projet</w:t>
      </w:r>
    </w:p>
    <w:p>
      <w:pPr>
        <w:spacing w:after="800"/>
        <w:jc w:val="center"/>
      </w:pPr>
      <w:r>
        <w:rPr>
          <w:i/>
          <w:iCs/>
          <w:color w:val="5A5A5A"/>
          <w:sz w:val="24"/>
          <w:szCs w:val="24"/>
        </w:rPr>
        <w:t xml:space="preserve">Détection, segmentation et estimation des déchets plastiques par imagerie drone</w:t>
      </w:r>
    </w:p>
    <w:p>
      <w:pPr>
        <w:spacing w:after="40"/>
        <w:jc w:val="center"/>
      </w:pPr>
      <w:r>
        <w:rPr>
          <w:color w:val="5A5A5A"/>
          <w:sz w:val="22"/>
          <w:szCs w:val="22"/>
        </w:rPr>
        <w:t xml:space="preserve">Document de travail, version de base</w:t>
      </w:r>
    </w:p>
    <w:p>
      <w:pPr>
        <w:spacing w:after="40"/>
        <w:jc w:val="center"/>
      </w:pPr>
      <w:r>
        <w:rPr>
          <w:color w:val="5A5A5A"/>
          <w:sz w:val="20"/>
          <w:szCs w:val="20"/>
        </w:rPr>
        <w:t xml:space="preserve">Préparé avec Claude, mentor de projet IA</w:t>
      </w:r>
    </w:p>
    <w:p>
      <w:pPr>
        <w:jc w:val="center"/>
      </w:pPr>
      <w:r>
        <w:rPr>
          <w:color w:val="5A5A5A"/>
          <w:sz w:val="20"/>
          <w:szCs w:val="20"/>
        </w:rPr>
        <w:t xml:space="preserve">Auteur : Jame Vallette, Plastic Odyssey</w:t>
      </w:r>
    </w:p>
    <w:p>
      <w:pPr>
        <w:pStyle w:val="Heading1"/>
        <w:pageBreakBefore/>
        <w:spacing w:after="240" w:before="480"/>
      </w:pPr>
      <w:r>
        <w:t xml:space="preserve">Avant-propos</w:t>
      </w:r>
    </w:p>
    <w:p>
      <w:pPr>
        <w:spacing w:after="200"/>
        <w:jc w:val="both"/>
      </w:pPr>
      <w:r>
        <w:t xml:space="preserve">Ce document est une première base de rapport de bilan sur le projet PixelOdyssey, destinée à être reprise et enrichie plutôt qu'à constituer un livrable final figé. Il retrace, comme un retour de mission, les objectifs poursuivis, les solutions techniques retenues, les résultats obtenus et les contraintes encore ouvertes.</w:t>
      </w:r>
    </w:p>
    <w:p>
      <w:pPr>
        <w:spacing w:after="200"/>
        <w:jc w:val="both"/>
      </w:pPr>
      <w:r>
        <w:t xml:space="preserve">Le projet couvre en réalité deux chantiers distincts, volontairement séparés dans ce rapport comme ils le sont dans l'architecture : la construction et l'évaluation du modèle de détection d'une part, et le pipeline de production qui met ce modèle en œuvre sur le terrain d'autre part. Les deux partagent le même modèle et une partie du moteur d'inférence, mais répondent à des besoins très différents : rigueur et comparabilité pour l'un, robustesse et autonomie pour l'autre. Cette distinction structure directement l'architecture du projet et le plan de ce rapport.</w:t>
      </w:r>
    </w:p>
    <w:p>
      <w:pPr>
        <w:pStyle w:val="Heading1"/>
        <w:pageBreakBefore/>
        <w:spacing w:after="240" w:before="480"/>
      </w:pPr>
      <w:r>
        <w:t xml:space="preserve">Sommaire</w:t>
      </w:r>
    </w:p>
    <w:p>
      <w:pPr>
        <w:spacing w:after="60"/>
      </w:pPr>
      <w:r>
        <w:rPr>
          <w:color w:val="5A5A5A"/>
        </w:rPr>
        <w:t xml:space="preserve">1. Objectifs du projet</w:t>
      </w:r>
    </w:p>
    <w:p>
      <w:pPr>
        <w:spacing w:after="60"/>
      </w:pPr>
      <w:r>
        <w:rPr>
          <w:color w:val="5A5A5A"/>
        </w:rPr>
        <w:t xml:space="preserve">2. Vue d'ensemble de l'architecture</w:t>
      </w:r>
    </w:p>
    <w:p>
      <w:pPr>
        <w:spacing w:after="60"/>
      </w:pPr>
      <w:r>
        <w:rPr>
          <w:color w:val="5A5A5A"/>
        </w:rPr>
        <w:t xml:space="preserve">3. Partie I : Entraînement et développement du modèle</w:t>
      </w:r>
    </w:p>
    <w:p>
      <w:pPr>
        <w:spacing w:after="60"/>
      </w:pPr>
      <w:r>
        <w:rPr>
          <w:color w:val="5A5A5A"/>
        </w:rPr>
        <w:t xml:space="preserve">   3.1 Logique d'ensemble et contraintes de méthode</w:t>
      </w:r>
    </w:p>
    <w:p>
      <w:pPr>
        <w:spacing w:after="60"/>
      </w:pPr>
      <w:r>
        <w:rPr>
          <w:color w:val="5A5A5A"/>
        </w:rPr>
        <w:t xml:space="preserve">   3.2 Cheminement de la donnée</w:t>
      </w:r>
    </w:p>
    <w:p>
      <w:pPr>
        <w:spacing w:after="60"/>
      </w:pPr>
      <w:r>
        <w:rPr>
          <w:color w:val="5A5A5A"/>
        </w:rPr>
        <w:t xml:space="preserve">   3.3 Choix d'architecture</w:t>
      </w:r>
    </w:p>
    <w:p>
      <w:pPr>
        <w:spacing w:after="60"/>
      </w:pPr>
      <w:r>
        <w:rPr>
          <w:color w:val="5A5A5A"/>
        </w:rPr>
        <w:t xml:space="preserve">   3.4 Ce que l'entraînement a permis d'établir</w:t>
      </w:r>
    </w:p>
    <w:p>
      <w:pPr>
        <w:spacing w:after="60"/>
      </w:pPr>
      <w:r>
        <w:rPr>
          <w:color w:val="5A5A5A"/>
        </w:rPr>
        <w:t xml:space="preserve">   3.5 Limites encore ouvertes</w:t>
      </w:r>
    </w:p>
    <w:p>
      <w:pPr>
        <w:spacing w:after="60"/>
      </w:pPr>
      <w:r>
        <w:rPr>
          <w:color w:val="5A5A5A"/>
        </w:rPr>
        <w:t xml:space="preserve">4. Partie II : Pipeline de production</w:t>
      </w:r>
    </w:p>
    <w:p>
      <w:pPr>
        <w:spacing w:after="60"/>
      </w:pPr>
      <w:r>
        <w:rPr>
          <w:color w:val="5A5A5A"/>
        </w:rPr>
        <w:t xml:space="preserve">   4.1 Deux façons d'exploiter le pipeline : lot de photos ou orthomosaïque</w:t>
      </w:r>
    </w:p>
    <w:p>
      <w:pPr>
        <w:spacing w:after="60"/>
      </w:pPr>
      <w:r>
        <w:rPr>
          <w:color w:val="5A5A5A"/>
        </w:rPr>
        <w:t xml:space="preserve">   4.2 Cheminement de la donnée et choix d'architecture</w:t>
      </w:r>
    </w:p>
    <w:p>
      <w:pPr>
        <w:spacing w:after="60"/>
      </w:pPr>
      <w:r>
        <w:rPr>
          <w:color w:val="5A5A5A"/>
        </w:rPr>
        <w:t xml:space="preserve">   4.3 État actuel et résultats</w:t>
      </w:r>
    </w:p>
    <w:p>
      <w:pPr>
        <w:spacing w:after="60"/>
      </w:pPr>
      <w:r>
        <w:rPr>
          <w:color w:val="5A5A5A"/>
        </w:rPr>
        <w:t xml:space="preserve">   4.4 Limites encore ouvertes</w:t>
      </w:r>
    </w:p>
    <w:p>
      <w:pPr>
        <w:spacing w:after="60"/>
      </w:pPr>
      <w:r>
        <w:rPr>
          <w:color w:val="5A5A5A"/>
        </w:rPr>
        <w:t xml:space="preserve">5. Bilan de mission</w:t>
      </w:r>
    </w:p>
    <w:p>
      <w:pPr>
        <w:spacing w:after="60"/>
      </w:pPr>
      <w:r>
        <w:rPr>
          <w:color w:val="5A5A5A"/>
        </w:rPr>
        <w:t xml:space="preserve">6. Pistes ouvertes</w:t>
      </w:r>
    </w:p>
    <w:p>
      <w:pPr>
        <w:spacing w:after="60"/>
      </w:pPr>
      <w:r>
        <w:rPr>
          <w:color w:val="5A5A5A"/>
        </w:rPr>
        <w:t xml:space="preserve">7. Annexes chiffrées</w:t>
      </w:r>
    </w:p>
    <w:p>
      <w:pPr>
        <w:pStyle w:val="Heading1"/>
        <w:pageBreakBefore/>
        <w:spacing w:after="240" w:before="480"/>
      </w:pPr>
      <w:r>
        <w:t xml:space="preserve">1. Objectifs du projet</w:t>
      </w:r>
    </w:p>
    <w:p>
      <w:pPr>
        <w:spacing w:after="200"/>
        <w:jc w:val="both"/>
      </w:pPr>
      <w:r>
        <w:t xml:space="preserve">PixelOdyssey vise à automatiser le repérage, puis l'estimation quantitative, des déchets plastiques échoués sur le littoral à partir de photos aériennes prises par drone lors des missions de Plastic Odyssey. Le projet est pensé pour couvrir progressivement plusieurs zones de collecte, avec la possibilité d'ajouter un nouveau site sans reprendre l'architecture : chaque site apporte ses propres photos et ses propres annotations, agrégées dans un référentiel commun plutôt que traitées par un pipeline séparé.</w:t>
      </w:r>
    </w:p>
    <w:p>
      <w:pPr>
        <w:spacing w:after="200"/>
        <w:jc w:val="both"/>
      </w:pPr>
      <w:r>
        <w:t xml:space="preserve">Le projet poursuit trois objectifs imbriqués. Le premier est de détecter et segmenter les déchets plastiques visibles sur les images aériennes, par famille de déchet plutôt que par matière brute, avec un modèle de vision par ordinateur entraîné sur des annotations de terrain. Le second est de cartographier ces détections géographiquement, à l'échelle d'une zone entière, que la donnée d'entrée soit une orthomosaïque déjà reconstituée ou un simple lot de photos brutes prises en mission. Le troisième, encore au milieu de son cadrage, est d'estimer une masse totale de déchets par zone à partir d'une conversion de l'aire du masque de segmentation en poids, calibrée par famille physique d'objet.</w:t>
      </w:r>
    </w:p>
    <w:p>
      <w:pPr>
        <w:spacing w:after="200"/>
        <w:jc w:val="both"/>
      </w:pPr>
      <w:r>
        <w:t xml:space="preserve">Un objectif transversal structure l'ensemble des choix techniques : la mesure de performance du modèle doit rester rigoureuse et comparable d'un essai à l'autre. Un gain mesuré doit être un gain réel, jamais un artefact de méthode : cette condition a orienté une bonne partie des décisions d'architecture décrites plus loin, en particulier côté entraînement.</w:t>
      </w:r>
    </w:p>
    <w:p>
      <w:pPr>
        <w:spacing w:after="200"/>
        <w:jc w:val="both"/>
      </w:pPr>
      <w:r>
        <w:t xml:space="preserve">Le référentiel annoté actuel couvre 11 lots de collecte répartis sur plusieurs sites, pour 536 images aériennes parentes et un peu plus de 3300 instances de déchets recensées lors du dernier audit du dataset. C'est un ordre de grandeur amené à grandir à mesure que de nouveaux sites et de nouvelles missions rejoignent le projet ; il sera mis à jour dans ce document au fil des prochaines mesures.</w:t>
      </w:r>
    </w:p>
    <w:p>
      <w:pPr>
        <w:pStyle w:val="Heading1"/>
        <w:pageBreakBefore/>
        <w:spacing w:after="240" w:before="480"/>
      </w:pPr>
      <w:r>
        <w:t xml:space="preserve">2. Vue d'ensemble de l'architecture</w:t>
      </w:r>
    </w:p>
    <w:p>
      <w:pPr>
        <w:spacing w:after="200"/>
        <w:jc w:val="both"/>
      </w:pPr>
      <w:r>
        <w:t xml:space="preserve">Le projet est organisé en deux pipelines indépendants, qui ne partagent que la donnée annotée d'origine et une partie du moteur d'inférence. Le premier construit et évalue le modèle de détection : il part de photos annotées et produit des poids de modèle comparables d'un essai à l'autre. Le second part d'un modèle déjà entraîné, choisi manuellement dans un registre dédié et jamais par un scan automatique des essais d'entraînement, et le met en œuvre sur le terrain pour produire une carte de détections géolocalisées.</w:t>
      </w:r>
    </w:p>
    <w:p>
      <w:pPr>
        <w:spacing w:after="200"/>
        <w:jc w:val="both"/>
      </w:pPr>
      <w:r>
        <w:t xml:space="preserve">Ces deux pipelines répondent à des exigences différentes. Le premier privilégie la rigueur scientifique : chaque essai doit être comparable au précédent, une seule variable changée à la fois, sur un jeu de test qui ne bouge jamais dans le temps. Le second privilégie la robustesse en conditions de mission : il doit pouvoir tourner sans connexion réseau et dans un temps raisonnable, quitte à accepter des compromis que le premier ne tolérerait jamais.</w:t>
      </w:r>
    </w:p>
    <w:p>
      <w:pPr>
        <w:spacing w:after="200"/>
        <w:jc w:val="both"/>
      </w:pPr>
      <w:r>
        <w:t xml:space="preserve">Le schéma ci-dessous représente les deux pipelines et leurs connexions : les formats qui circulent d'une brique à l'autre, et l'unique point de dépendance entre les deux, le choix manuel d'un modèle entraîné qui alimente ensuite le pipeline de production.</w:t>
      </w:r>
    </w:p>
    <w:p>
      <w:pPr>
        <w:spacing w:after="80" w:before="120"/>
        <w:jc w:val="center"/>
      </w:pPr>
      <w:r>
        <w:drawing>
          <wp:inline distT="0" distB="0" distL="0" distR="0">
            <wp:extent cx="58293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4943475"/>
                    </a:xfrm>
                    <a:prstGeom prst="rect">
                      <a:avLst/>
                    </a:prstGeom>
                  </pic:spPr>
                </pic:pic>
              </a:graphicData>
            </a:graphic>
          </wp:inline>
        </w:drawing>
      </w:r>
    </w:p>
    <w:p>
      <w:pPr>
        <w:spacing w:after="280"/>
        <w:jc w:val="center"/>
      </w:pPr>
      <w:r>
        <w:rPr>
          <w:i/>
          <w:iCs/>
          <w:color w:val="5A5A5A"/>
          <w:sz w:val="20"/>
          <w:szCs w:val="20"/>
        </w:rPr>
        <w:t xml:space="preserve">Architecture générale du projet : entraînement du modèle (à gauche) et pipeline de production (à droite), reliés par la sélection manuelle d'un modèle opérationnel.</w:t>
      </w:r>
    </w:p>
    <w:p>
      <w:pPr>
        <w:spacing w:after="200"/>
        <w:jc w:val="both"/>
      </w:pPr>
      <w:r>
        <w:t xml:space="preserve">Côté entraînement, la donnée traverse une suite d'étapes strictement séquentielles, chacune matérialisée par un dossier de sortie qui sert d'entrée à la suivante : un contrôle de cohérence, une répartition entre les ensembles d'entraînement, de validation et de test, une étape d'augmentation, puis un découpage en tuiles avant l'entraînement proprement dit. Concrètement, les images sources sont découpées en tuiles de 640×640 pixels avec un recouvrement de 256 pixels entre tuiles voisines (soit un pas de 384 pixels), et la répartition entre ensembles vise nominalement 70 % entraînement, 20 % validation et 10 % test des images parentes de chaque lot. Côté production, deux points d'entrée sont possibles, un lot de photos brutes ou une orthomosaïque déjà reconstituée, qui convergent vers le même moteur d'inférence puis divergent de nouveau selon la façon dont chacun calcule la position réelle de chaque détection : un lot de photos a besoin d'une étape de regroupement des doublons qu'une orthomosaïque n'a jamais à faire, pour les raisons détaillées en partie II.</w:t>
      </w:r>
    </w:p>
    <w:p>
      <w:pPr>
        <w:pStyle w:val="Heading1"/>
        <w:pageBreakBefore/>
        <w:spacing w:after="240" w:before="480"/>
      </w:pPr>
      <w:r>
        <w:t xml:space="preserve">3. Partie I : Entraînement et développement du modèle</w:t>
      </w:r>
    </w:p>
    <w:p>
      <w:pPr>
        <w:pStyle w:val="Heading2"/>
        <w:spacing w:after="160" w:before="340"/>
      </w:pPr>
      <w:r>
        <w:t xml:space="preserve">3.1 Logique d'ensemble et contraintes de méthode</w:t>
      </w:r>
    </w:p>
    <w:p>
      <w:pPr>
        <w:spacing w:after="200"/>
        <w:jc w:val="both"/>
      </w:pPr>
      <w:r>
        <w:t xml:space="preserve">Le pipeline d'entraînement est construit autour d'une contrainte simple à énoncer mais exigeante à tenir : deux essais ne peuvent être comparés que s'ils ne diffèrent que par la variable qu'on cherche à évaluer. Cette exigence a des conséquences concrètes sur l'architecture. Le jeu de test ne peut jamais changer de composition d'un essai à l'autre, sans quoi une amélioration mesurée pourrait simplement venir d'un test devenu plus facile plutôt que d'un modèle meilleur. Un changement de taxonomie de classes doit être détecté automatiquement avant d'évaluer un modèle plus ancien, sans quoi les identifiants de classe embarqués dans ses poids seraient silencieusement réinterprétés sous les nouveaux noms. Et chaque étape du pipeline doit invalider automatiquement son propre résultat dès qu'un paramètre en amont change, pour qu'aucun entraînement ne tourne par erreur sur un mélange de deux versions de données.</w:t>
      </w:r>
    </w:p>
    <w:p>
      <w:pPr>
        <w:spacing w:after="200"/>
        <w:jc w:val="both"/>
      </w:pPr>
      <w:r>
        <w:t xml:space="preserve">Cette discipline a été précieuse à plus d'une reprise : elle a permis de détecter, avant de tirer une conclusion sur un réglage de modèle, que la mesure elle-même était biaisée, un jeu de test qui gelait par erreur une part disproportionnée du dataset, ou un modèle réévalué sous une taxonomie différente de celle avec laquelle il avait été entraîné. Dans un cas concret, un jeu de test mal reconstruit après une correction représentait 38 % des images parentes du dataset au lieu des 10 % visés (204 images sur 535 plutôt que 54) ; une fois corrigé, l'ensemble d'entraînement a gagné 45 % d'images parentes supplémentaires, passant de 258 à 375, sans qu'aucun réglage de modèle n'ait changé entre les deux mesures. Sans cette discipline, ces biais de mesure auraient été confondus avec de vrais résultats de modèle, et des conclusions auraient été tirées sur des réglages à partir de chiffres qui ne mesuraient en réalité rien de comparable.</w:t>
      </w:r>
    </w:p>
    <w:p>
      <w:pPr>
        <w:pStyle w:val="Heading2"/>
        <w:spacing w:after="160" w:before="340"/>
      </w:pPr>
      <w:r>
        <w:t xml:space="preserve">3.2 Cheminement de la donnée</w:t>
      </w:r>
    </w:p>
    <w:p>
      <w:pPr>
        <w:spacing w:after="200"/>
        <w:jc w:val="both"/>
      </w:pPr>
      <w:r>
        <w:t xml:space="preserve">La donnée part de photos annotées, organisées par lot : chaque lot correspond typiquement à une session de vol sur une zone donnée, avec ses propres masques de segmentation et son propre référentiel local de sous-classes. Un contrôle de cohérence non destructif vérifie ce matériau brut avant toute transformation : nommage, résolution des classes vers le référentiel commun, validité géométrique des annotations, et détection des doublons d'annotation, c'est-à-dire un même déchet annoté deux fois par erreur.</w:t>
      </w:r>
    </w:p>
    <w:p>
      <w:pPr>
        <w:spacing w:after="200"/>
        <w:jc w:val="both"/>
      </w:pPr>
      <w:r>
        <w:t xml:space="preserve">Cette donnée brute est ensuite répartie entre trois ensembles (entraînement, validation et test) en conservant les proportions à l'intérieur de chaque lot plutôt que par un tirage global, pour qu'un petit lot ne soit jamais exclu par hasard d'un des trois ensembles. Une partie du jeu de test reste figée en permanence : les mêmes images y restent, quelle que soit la donnée ajoutée par la suite, pour que toute comparaison future porte sur exactement le même test.</w:t>
      </w:r>
    </w:p>
    <w:p>
      <w:pPr>
        <w:spacing w:after="200"/>
        <w:jc w:val="both"/>
      </w:pPr>
      <w:r>
        <w:t xml:space="preserve">Une étape d'augmentation suit, volontairement transparente à ce stade : le vrai travail d'augmentation se fait plus loin, au moment de l'entraînement lui-même, à travers les réglages natifs du framework de détection plutôt qu'une transformation dédiée. Vient ensuite un découpage en tuiles de taille fixe avec un recouvrement entre tuiles voisines, nécessaire parce que les images sources, souvent de grandes orthomosaïques, dépassent largement la taille que le modèle peut traiter en une seule passe ; un filtre écarte les tuiles de bordure noire issues du redressement des images sources, pour ne pas diluer la valeur des vrais exemples de fond avec des artefacts de capture.</w:t>
      </w:r>
    </w:p>
    <w:p>
      <w:pPr>
        <w:spacing w:after="200"/>
        <w:jc w:val="both"/>
      </w:pPr>
      <w:r>
        <w:t xml:space="preserve">Le dataset couvre aujourd'hui 11 lots issus de plusieurs sites de collecte, pour 536 images parentes et un peu plus de 3300 instances annotées réparties sur sept catégories cibles (le détail par catégorie figure en annexe A). Le site de Santa Luzia concentre à lui seul la quasi-totalité des instances de plusieurs catégories peu fréquentes ailleurs dans le dataset (voir annexe B), un déséquilibre géographique qui pèse directement sur la capacité du modèle à généraliser ces catégories aux autres sites.</w:t>
      </w:r>
    </w:p>
    <w:p>
      <w:pPr>
        <w:spacing w:after="200"/>
        <w:jc w:val="both"/>
      </w:pPr>
      <w:r>
        <w:t xml:space="preserve">L'entraînement proprement dit part de cette donnée tuilée et produit, en plus des poids du modèle, un rapport détaillé par catégorie sur les ensembles de validation et de test. Cet outillage est complété par des comparateurs d'essais et des outils de relecture qui permettent de corriger la vérité terrain à partir des erreurs du modèle, sans jamais toucher directement au jeu de test au-delà d'une passe de correction volontairement plus stricte que pour l'entraînement et la validation.</w:t>
      </w:r>
    </w:p>
    <w:p>
      <w:pPr>
        <w:pStyle w:val="Heading2"/>
        <w:spacing w:after="160" w:before="340"/>
      </w:pPr>
      <w:r>
        <w:t xml:space="preserve">3.3 Choix d'architecture</w:t>
      </w:r>
    </w:p>
    <w:p>
      <w:pPr>
        <w:spacing w:after="200"/>
        <w:jc w:val="both"/>
      </w:pPr>
      <w:r>
        <w:t xml:space="preserve">Le modèle apprend à reconnaître des familles de déchets définies par leur forme plutôt que par leur matière : une catégorie n'est isolée que si sa silhouette est suffisamment récurrente et représentée par assez d'exemples pour être apprise séparément, sinon elle rejoint une catégorie fourre-tout. Les catégories retenues couvrent les bouteilles, les tongs, les cagettes, les bouées et flotteurs (regroupés faute d'exemples suffisants pour les distinguer), le cordage et les filets, les bidons, et une dernière catégorie qui regroupe tout le reste (sacs, mousses, fragments rigides, textiles, bouchons) et qui représente à elle seule l'essentiel des instances annotées.</w:t>
      </w:r>
    </w:p>
    <w:p>
      <w:pPr>
        <w:spacing w:after="200"/>
        <w:jc w:val="both"/>
      </w:pPr>
      <w:r>
        <w:t xml:space="preserve">Chaque lot brut garde son propre référentiel local de sous-classes, parfois très détaillé ; une table de correspondance unique traduit chaque nom local vers une catégorie cible commune, ou vers une classe explicitement exclue lorsqu'il s'agit d'une matière non plastique ou d'une catégorie jugée trop hétérogène pour être mappée. Ajouter un nouveau lot ou une nouvelle sous-classe ne nécessite donc jamais de toucher au code, seulement d'étendre cette table. Deux catégories ont été retirées de la taxonomie après diagnostic : une classe de petits objets rigides, dont la taille apparente s'est révélée être une limite physique de résolution de capture plutôt qu'un manque de données ou de capacité du modèle ; et une classe ambiguë, un temps fusionnée dans la catégorie fourre-tout puis réexclue après avoir constaté que cette fusion la transformait en aimant à confusion pour plusieurs autres catégories.</w:t>
      </w:r>
    </w:p>
    <w:p>
      <w:pPr>
        <w:spacing w:after="200"/>
        <w:jc w:val="both"/>
      </w:pPr>
      <w:r>
        <w:t xml:space="preserve">La répartition entre ensembles d'entraînement, de validation et de test dépend uniquement de l'identité propre de chaque image, plutôt que de sa position dans un tirage aléatoire ou du volume total de données disponible au moment du calcul. C'est une condition nécessaire pour qu'ajouter progressivement de nouvelles photos annotées à une zone déjà couverte ne fasse jamais migrer silencieusement des images déjà réparties d'un ensemble à l'autre, ce qui aurait rendu illégitime toute comparaison de performance dans le temps. Une répartition à l'échelle d'une seule zone reste également possible sans dupliquer le pipeline principal ni écraser le jeu de données complet, utile pour entraîner un modèle dédié à une zone particulière tout en restant comparable au modèle général sur exactement le même sous-ensemble de test.</w:t>
      </w:r>
    </w:p>
    <w:p>
      <w:pPr>
        <w:spacing w:after="200"/>
        <w:jc w:val="both"/>
      </w:pPr>
      <w:r>
        <w:t xml:space="preserve">Les images sont des vues aériennes verticales : un déchet peut apparaître dans n'importe quelle orientation, contrairement à une photographie « normale » avec un horizon, pour laquelle les réglages par défaut du framework de détection sont calibrés. L'entraînement applique donc une rotation aléatoire sur tout le cercle et un retournement vertical en plus du retournement horizontal déjà standard, pour refléter cette absence d'orientation privilégiée. L'entraînement de référence tourne sur cent époques au maximum, avec un arrêt anticipé après vingt époques sans progrès sur la validation et un lot de seize images à la fois, sur une architecture nano pour les essais méthodologiques et une architecture small, plus lourde mais plus précise, pour le modèle finalement retenu en production.</w:t>
      </w:r>
    </w:p>
    <w:p>
      <w:pPr>
        <w:spacing w:after="200"/>
        <w:jc w:val="both"/>
      </w:pPr>
      <w:r>
        <w:t xml:space="preserve">Plusieurs autres leviers ont été testés en isolant chaque fois une seule variable par rapport à la configuration de référence, sur le même jeu de test réservé : un rééquilibrage des classes rares par collage d'instances au sein d'une même image, une pondération de la fonction de perte par la fréquence inverse de chaque classe, un mélange d'images, et la désactivation de la fusion des masques qui se chevauchent (détail chiffré en annexe C). Aucun de ces réglages n'a apporté un gain nettement favorable à la fois en précision et en rappel : le mélange d'images gagne 3,7 points de précision macro mais en perd 3,2 en rappel macro ; la repondération de la perte par classe gagne 2,7 points de précision macro mais en perd 7,9 en rappel macro ; le collage d'instances perd à la fois 3,8 points de rappel macro et 8,4 points de précision globale pondérée. La désactivation de la fusion des masques superposés est le seul levier qui améliore le rappel des classes qui s'accumulent, jusqu'à 13,9 points de rappel en plus sur la catégorie la plus concernée sur le site de Santa Luzia, mais au prix d'une perte de précision macro qui atteint 20,5 points sur ce même site, y compris sur des catégories que ce mécanisme n'explique pas. Aucun n'a donc remplacé la configuration de référence à ce jour, même si la piste de la fusion des masques reste jugée réelle et pas définitivement écartée.</w:t>
      </w:r>
    </w:p>
    <w:p>
      <w:pPr>
        <w:pStyle w:val="Heading2"/>
        <w:spacing w:after="160" w:before="340"/>
      </w:pPr>
      <w:r>
        <w:t xml:space="preserve">3.4 Ce que l'entraînement a permis d'établir</w:t>
      </w:r>
    </w:p>
    <w:p>
      <w:pPr>
        <w:spacing w:after="200"/>
        <w:jc w:val="both"/>
      </w:pPr>
      <w:r>
        <w:t xml:space="preserve">Sur le jeu de test réservé (54 images sur 535 images parentes, soit 10,1 % du dataset), la configuration de référence atteint une précision macro de 43,8 %, un rappel macro de 36,3 %, un mAP50 de 32,6 % et un mAP50-95 de 20,8 %, soit une précision et un rappel corrects sur la majorité des catégories de la taxonomie, avec deux exceptions structurelles bien identifiées. La première tient à une limite physique de résolution de capture plutôt qu'à un manque de données : un futur matériel de capture visant une résolution sol plus grossière aggraverait cette limite plutôt que de la résoudre, ce qui a motivé le retrait de cette catégorie de la taxonomie. La seconde tient à la variabilité de forme d'une catégorie allongée et souple (cordage, filets), une variabilité de silhouette parmi les plus élevées de toute la taxonomie : un problème de forme plutôt que de taille.</w:t>
      </w:r>
    </w:p>
    <w:p>
      <w:pPr>
        <w:spacing w:after="200"/>
        <w:jc w:val="both"/>
      </w:pPr>
      <w:r>
        <w:t xml:space="preserve">Une évaluation restreinte au site de Santa Luzia a par ailleurs montré un rappel macro de 23,3 % contre 36,3 % sur le test général. Ce déficit n'est pas un problème général de généralisation du modèle à cette zone : il se concentre sur deux catégories qui y tombent à un rappel de 0 %, pendant que les catégories majoritaires (cordage, bidons, catégorie fourre-tout) continuent d'y transférer à moins de 5 points d'écart. L'hypothèse retenue est un écart d'apparence propre aux deux catégories en cause sur ce site, sable et lumière, plutôt qu'un manque de capacité générale du modèle.</w:t>
      </w:r>
    </w:p>
    <w:p>
      <w:pPr>
        <w:spacing w:after="200"/>
        <w:jc w:val="both"/>
      </w:pPr>
      <w:r>
        <w:t xml:space="preserve">Un modèle à une seule catégorie, qui détecte le déchet plastique sans distinction de sous-type, a par ailleurs été entraîné et retenu comme modèle de référence pour le pipeline de production. Parmi huit configurations comparées sur le même jeu de test réservé (deux architectures, deux résolutions d'entrée, avec ou sans l'augmentation géométrique nadir, détail en annexe D), la configuration retenue atteint une précision de 53,8 %, un rappel de 52,7 % et un F1 de 53,2 %, pour un mAP50-95 de 31,3 %, devant la meilleure alternative à architecture plus légère (F1 51,9 %) et nettement devant une configuration sans augmentation nadir (F1 46,2 %) ou la configuration de départ (F1 45,5 %).</w:t>
      </w:r>
    </w:p>
    <w:p>
      <w:pPr>
        <w:spacing w:after="200"/>
        <w:jc w:val="both"/>
      </w:pPr>
      <w:r>
        <w:t xml:space="preserve">Une question de fine-tuning incrémental, reprendre un modèle déjà entraîné plutôt que de repartir de zéro à chaque enrichissement de données, a été tranchée en faveur d'un réentraînement complet à chaque fois : un réentraînement complet du modèle multiclasse prend de l'ordre de 29 minutes sur le matériel actuellement utilisé (79 époques sur 100 avant arrêt anticipé), ce qui n'en fait pas un goulot d'étranglement à l'échelle du projet même en anticipant la croissance prévue du dataset, alors qu'un modèle repris depuis un point antérieur perdrait la comparabilité stricte que toute la méthode d'évaluation du projet s'est donné les moyens de garantir.</w:t>
      </w:r>
    </w:p>
    <w:p>
      <w:pPr>
        <w:pStyle w:val="Heading2"/>
        <w:spacing w:after="160" w:before="340"/>
      </w:pPr>
      <w:r>
        <w:t xml:space="preserve">3.5 Limites encore ouvertes</w:t>
      </w:r>
    </w:p>
    <w:p>
      <w:pPr>
        <w:spacing w:after="200"/>
        <w:jc w:val="both"/>
      </w:pPr>
      <w:r>
        <w:t xml:space="preserve">Le déséquilibre entre catégories reste entier : la catégorie fourre-tout représente à elle seule l'essentiel des instances annotées, et aucun des leviers de rééquilibrage testés n'a démontré de gain net. Les pistes plus lourdes identifiées dans la littérature (échantillonnage pondéré par rareté, collage ciblé sur les zones les plus denses) demanderaient un développement dédié, pas encore engagé.</w:t>
      </w:r>
    </w:p>
    <w:p>
      <w:pPr>
        <w:spacing w:after="200"/>
        <w:jc w:val="both"/>
      </w:pPr>
      <w:r>
        <w:t xml:space="preserve">Les deux catégories structurellement faibles restent telles quelles, pour des raisons différentes et déjà comprises, mais sans solution actionnable à ce jour pour celle liée à la variabilité de forme. La troncature des objets aux bordures de tuile constitue une autre limite géométrique du pipeline : la garantie qu'un objet apparaisse entier sur au moins une tuile ne tient mathématiquement que pour un objet dont la largeur et la hauteur ne dépassent pas les 256 pixels de recouvrement choisis entre tuiles voisines. Au-delà, aucune tuile de 640 pixels ne peut jamais le contenir en entier, quelle que soit sa position, ce qui touche vraisemblablement en partie la catégorie du cordage (filiforme et souvent allongée), sans qu'une mesure chiffrée de son ampleur n'ait encore été faite.</w:t>
      </w:r>
    </w:p>
    <w:p>
      <w:pPr>
        <w:spacing w:after="200"/>
        <w:jc w:val="both"/>
      </w:pPr>
      <w:r>
        <w:t xml:space="preserve">Un outil de diagnostic sur l'équilibre entre tuiles avec et sans annotation, par ensemble, a été livré mais pas encore exécuté ; sa conclusion reste en attente. Enfin, l'estimation de masse reste au milieu de son cadrage : la correspondance entre les photos de pesée et le tableau de résultats a été établie, et le modèle physique de conversion (aire proportionnelle pour les objets plats, une relation non linéaire pour les objets compacts, un proxy de longueur encore à définir pour le cordage) est cadré dans son principe, mais la calibration de l'échelle réelle par photo et l'implémentation du modèle de conversion restent à faire.</w:t>
      </w:r>
    </w:p>
    <w:p>
      <w:pPr>
        <w:pStyle w:val="Heading1"/>
        <w:pageBreakBefore/>
        <w:spacing w:after="240" w:before="480"/>
      </w:pPr>
      <w:r>
        <w:t xml:space="preserve">4. Partie II : Pipeline de production</w:t>
      </w:r>
    </w:p>
    <w:p>
      <w:pPr>
        <w:pStyle w:val="Heading2"/>
        <w:spacing w:after="160" w:before="340"/>
      </w:pPr>
      <w:r>
        <w:t xml:space="preserve">4.1 Deux façons d'exploiter le pipeline : lot de photos ou orthomosaïque</w:t>
      </w:r>
    </w:p>
    <w:p>
      <w:pPr>
        <w:spacing w:after="200"/>
        <w:jc w:val="both"/>
      </w:pPr>
      <w:r>
        <w:t xml:space="preserve">Le pipeline de production peut consommer deux types d'entrée très différents, et le choix entre les deux est un vrai arbitrage plutôt qu'un détail d'implémentation.</w:t>
      </w:r>
    </w:p>
    <w:p>
      <w:pPr>
        <w:spacing w:after="200"/>
        <w:jc w:val="both"/>
      </w:pPr>
      <w:r>
        <w:t xml:space="preserve">La première option part d'un lot de photos individuelles telles que le drone les enregistre en vol, sans aucune étape de reconstruction préalable. Chaque photo est géolocalisée directement à partir de ses propres métadonnées de vol (position GPS, altitude, cap de la caméra) projetées au sol sous une hypothèse de terrain plat. Cette option ne dépend d'aucun outil tiers et peut tourner immédiatement après une mission, y compris sans connexion réseau fiable ; c'est l'option pensée pour un usage en expédition. Sa contrepartie est que chaque photo porte sa propre incertitude de position, indépendante des photos voisines : le seul capteur aujourd'hui pris en charge a une précision GPS de ±1,5 m à l'horizontale sans correction RTK, un ordre de grandeur supérieur à l'espacement typique entre deux déchets distincts mais proches. Un même déchet, photographié plusieurs fois du fait du recouvrement de vol, peut donc se retrouver reprojeté à des positions légèrement différentes d'une photo à l'autre. Une étape de regroupement des détections correspondant au même objet réel devient alors nécessaire, pour ne pas compter plusieurs fois le même déchet.</w:t>
      </w:r>
    </w:p>
    <w:p>
      <w:pPr>
        <w:spacing w:after="200"/>
        <w:jc w:val="both"/>
      </w:pPr>
      <w:r>
        <w:t xml:space="preserve">La seconde option part d'une orthomosaïque déjà reconstituée : une unique image géoréférencée, assemblée par un traitement photogrammétrique externe à partir de l'ensemble des photos de la mission. Cette reconstruction résout déjà la géométrie d'ensemble (l'ajustement qui aligne toutes les photos entre elles), si bien que l'inférence n'a plus qu'à balayer une seule image continue : chaque déchet n'y apparaît qu'une fois, à un seul endroit, et le regroupement de doublons entre photos devient structurellement inutile. Sa contrepartie est le coût de la reconstruction elle-même : un traitement plus lourd et plus lent, qui n'a pas sa place en temps réel sur le terrain et suppose une étape de reconstruction menée à part, généralement avec davantage de temps ou de moyens de calcul disponibles qu'en pleine mission. À titre d'ordre de grandeur, l'inférence par fenêtre glissante elle-même traite environ 5 tuiles de 640×640 pixels par seconde sur un poste sans accélération GPU dédiée, soit 3 à 4 minutes pour balayer une orthomosaïque d'un peu plus de 1000 tuiles dans ces conditions ; un temps de calcul avec accélération GPU sur un batch complet de mission reste à mesurer.</w:t>
      </w:r>
    </w:p>
    <w:p>
      <w:pPr>
        <w:spacing w:after="200"/>
        <w:jc w:val="both"/>
      </w:pPr>
      <w:r>
        <w:t xml:space="preserve">L'arbitrage se résume ainsi : le lot de photos brutes privilégie la rapidité et l'autonomie, au prix d'un dédoublonnage encore imparfait ; l'orthomosaïque privilégie la précision et l'absence structurelle de doublons, au prix d'un délai et d'une dépendance à un traitement de reconstruction préalable. Les deux options partagent le même moteur d'inférence par fenêtre glissante et le même modèle de détection ; seule la façon de calculer la position de chaque détection, et la nécessité ou non de dédoublonner, diffère entre les deux.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Critère</w:t>
            </w:r>
          </w:p>
        </w:tc>
        <w:tc>
          <w:tcPr>
            <w:tcW w:type="dxa" w:w="35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Lot de photos brutes</w:t>
            </w:r>
          </w:p>
        </w:tc>
        <w:tc>
          <w:tcPr>
            <w:tcW w:type="dxa" w:w="35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Orthomosaïque déjà reconstituée</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Délai avant traitement</w:t>
            </w:r>
          </w:p>
        </w:tc>
        <w:tc>
          <w:tcPr>
            <w:tcW w:type="dxa" w:w="35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Immédiat après la mission</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Nécessite une reconstruction préalable</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Dépendance réseau</w:t>
            </w:r>
          </w:p>
        </w:tc>
        <w:tc>
          <w:tcPr>
            <w:tcW w:type="dxa" w:w="35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Aucune</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Aucune une fois l'orthomosaïque livrée</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Géolocalisation</w:t>
            </w:r>
          </w:p>
        </w:tc>
        <w:tc>
          <w:tcPr>
            <w:tcW w:type="dxa" w:w="35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Par photo, bruit GPS/attitude non corrigé</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Résolue par l'ajustement de faisceaux</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Dédoublonnage inter-photos</w:t>
            </w:r>
          </w:p>
        </w:tc>
        <w:tc>
          <w:tcPr>
            <w:tcW w:type="dxa" w:w="35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Nécessaire (imparfait par défaut)</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Non nécessaire</w:t>
            </w:r>
          </w:p>
        </w:tc>
      </w:tr>
    </w:tbl>
    <w:p>
      <w:pPr>
        <w:spacing w:after="320" w:before="120"/>
      </w:pPr>
      <w:r>
        <w:rPr>
          <w:i/>
          <w:iCs/>
          <w:color w:val="5A5A5A"/>
          <w:sz w:val="19"/>
          <w:szCs w:val="19"/>
        </w:rPr>
        <w:t xml:space="preserve">Comparaison minimaliste des deux méthodes d'inférence disponibles en production.</w:t>
      </w:r>
    </w:p>
    <w:p>
      <w:pPr>
        <w:pStyle w:val="Heading2"/>
        <w:spacing w:after="160" w:before="340"/>
      </w:pPr>
      <w:r>
        <w:t xml:space="preserve">4.2 Cheminement de la donnée et choix d'architecture</w:t>
      </w:r>
    </w:p>
    <w:p>
      <w:pPr>
        <w:spacing w:after="200"/>
        <w:jc w:val="both"/>
      </w:pPr>
      <w:r>
        <w:t xml:space="preserve">Quel que soit le point d'entrée choisi, un inventaire préalable valide les images exploitables : une image dont les métadonnées de vol sont illisibles, ou dont l'inclinaison de la caméra s'écarte trop d'une prise de vue verticale, est écartée avec une raison explicite plutôt que de fausser silencieusement une position calculée à partir d'elle.</w:t>
      </w:r>
    </w:p>
    <w:p>
      <w:pPr>
        <w:spacing w:after="200"/>
        <w:jc w:val="both"/>
      </w:pPr>
      <w:r>
        <w:t xml:space="preserve">Dans le mode lot de photos, l'extraction des métadonnées de vol est structurée par constructeur de drone plutôt que codée en dur pour un seul modèle : le bloc de métadonnées exploité aujourd'hui est propriétaire à un constructeur, et un autre matériel nécessitera vraisemblablement son propre mécanisme d'extraction, ajouté sans toucher au reste du pipeline. Le regroupement des détections dupliquées entre photos voisines s'appuie sur la forme géométrique de chaque détection reprojetée au sol plutôt que sur une simple distance entre positions GPS : la précision de positionnement d'un drone grand public reste du même ordre de grandeur que l'espacement entre deux déchets distincts mais proches (un tas, par exemple), ce qui rendrait une distance de points insuffisante pour les distinguer, alors que la forme reste discriminante même avec du bruit de position. Sur un batch réel de mission (3044 détections brutes issues de 34 photos), l'approche géométrique seule ne regroupe effectivement aucune détection au seuil habituellement utilisé, et ne descend jamais sous quatre sous-groupes pour un même objet réel même à un seuil de tolérance descendu à une valeur extrême. La forme reste discriminante, mais le recouvrement entre vues d'un même objet reste structurellement trop faible sans ajustement de faisceaux entre les photos, quel que soit le seuil choisi (détail en annexe F).</w:t>
      </w:r>
    </w:p>
    <w:p>
      <w:pPr>
        <w:spacing w:after="200"/>
        <w:jc w:val="both"/>
      </w:pPr>
      <w:r>
        <w:t xml:space="preserve">Une option complémentaire, fondée sur la comparaison de l'apparence visuelle des recadrages plutôt que sur la seule géométrie, existe pour les cas où la géométrie seule ne suffit pas à regrouper des vues d'un même objet trop éloignées les unes des autres après reprojection. Sur ce même cas d'usage, la similarité cosinus mesurée entre vues confirmées d'un même objet se situe entre 0,55 et 0,76, contre 0,40 à 0,44 pour un objet visuellement distinct dans le même voisinage. C'est une marge réelle mais resserrée, exploitée à un seuil par défaut de 0,5 combiné à un filtre de proximité de 2 mètres, jamais utilisée seule sur l'ensemble du batch.</w:t>
      </w:r>
    </w:p>
    <w:p>
      <w:pPr>
        <w:spacing w:after="200"/>
        <w:jc w:val="both"/>
      </w:pPr>
      <w:r>
        <w:t xml:space="preserve">Dans les deux modes, le résultat final est un export des détections géolocalisées accompagnées d'un recadrage de chacune, et une carte interactive qui permet de basculer entre un affichage des détections individuelles et une vue de densité, avec un fond satellite pour situer la zone dans son contexte réel.</w:t>
      </w:r>
    </w:p>
    <w:p>
      <w:pPr>
        <w:pStyle w:val="Heading2"/>
        <w:spacing w:after="160" w:before="340"/>
      </w:pPr>
      <w:r>
        <w:t xml:space="preserve">4.3 État actuel et résultats</w:t>
      </w:r>
    </w:p>
    <w:p>
      <w:pPr>
        <w:spacing w:after="200"/>
        <w:jc w:val="both"/>
      </w:pPr>
      <w:r>
        <w:t xml:space="preserve">Le pipeline a été mis en œuvre de bout en bout sur des lots réels de terrain, et la carte interactive est fonctionnelle : bascule entre affichage des détections et vue de densité, recadrages consultables au clic avec le contour du masque, curseur de confiance côté client, fond satellite calibré pour éviter d'afficher une tuile de remplacement au-delà de la résolution réellement disponible sur une zone isolée.</w:t>
      </w:r>
    </w:p>
    <w:p>
      <w:pPr>
        <w:spacing w:after="200"/>
        <w:jc w:val="both"/>
      </w:pPr>
      <w:r>
        <w:t xml:space="preserve">Le point le plus significatif à ce jour concerne le regroupement des doublons en mode lot de photos : sur des lots réels, l'approche géométrique seule ne parvient quasiment jamais à regrouper les vues d'un même objet, quel que soit le seuil de tolérance choisi (chiffré en 4.2 et en annexe F). La cause est structurelle plutôt qu'un défaut d'implémentation : sans ajustement de faisceaux entre les photos (l'étape que la reconstruction en orthomosaïque effectue justement), le bruit de position propre à chaque photo suffit à ce que la forme reprojetée d'un même objet ne se recoupe presque plus d'une photo à l'autre, même lorsque le point reste proche.</w:t>
      </w:r>
    </w:p>
    <w:p>
      <w:pPr>
        <w:spacing w:after="200"/>
        <w:jc w:val="both"/>
      </w:pPr>
      <w:r>
        <w:t xml:space="preserve">Une option complémentaire a donc été ajoutée, combinant la géométrie à une comparaison de l'apparence visuelle des recadrages par un modèle de similarité d'image pré-entraîné : deux détections proches mais géométriquement disjointes peuvent être regroupées si leur apparence se ressemble suffisamment. Cette option fonctionne et a été calibrée sur des exemples réels, après correction d'un défaut de performance qui bloquait cette étape plus d'une heure sur un batch réel de plusieurs milliers de détections et qui a depuis été ramené à moins d'une seconde de calcul. Elle dépend cependant d'un modèle de similarité téléchargé au premier usage, ce qui introduit une dépendance réseau incompatible avec un usage en expédition sans connexion fiable. Le pipeline utilise donc par défaut l'approche géométrique seule, cent pour cent locale et sans aucun appel réseau, au prix explicite d'un dédoublonnage inter-photos qui reste, dans cette configuration par défaut, non résolu. L'option combinée reste disponible pour un usage où la connexion réseau ne pose pas de contrainte, par exemple un traitement mené après la mission plutôt qu'en plein terrain.</w:t>
      </w:r>
    </w:p>
    <w:p>
      <w:pPr>
        <w:pStyle w:val="Heading2"/>
        <w:spacing w:after="160" w:before="340"/>
      </w:pPr>
      <w:r>
        <w:t xml:space="preserve">4.4 Limites encore ouvertes</w:t>
      </w:r>
    </w:p>
    <w:p>
      <w:pPr>
        <w:spacing w:after="200"/>
        <w:jc w:val="both"/>
      </w:pPr>
      <w:r>
        <w:t xml:space="preserve">La limite la plus significative du pipeline de production à ce jour est ce dédoublonnage inter-photos non résolu par défaut : en configuration standard, un même déchet réel peut rester compté plusieurs fois lorsque l'entrée est un lot de photos brutes plutôt qu'une orthomosaïque. Deux pistes restent ouvertes pour la résoudre sans dépendance réseau au moment de l'exécution : rendre l'option combinée utilisable hors ligne en pré-chargeant son modèle de similarité avant la mission, ou explorer une mesure de similarité visuelle qui ne dépende d'aucun modèle téléchargé.</w:t>
      </w:r>
    </w:p>
    <w:p>
      <w:pPr>
        <w:spacing w:after="200"/>
        <w:jc w:val="both"/>
      </w:pPr>
      <w:r>
        <w:t xml:space="preserve">La convention retenue pour interpréter le cap de la caméra n'a pas encore été confrontée à une vraie séquence de photos qui se chevauchent ; elle s'appuie pour l'instant sur la documentation générale du constructeur plutôt que sur une vérification directe. Un seul modèle de capteur est aujourd'hui pris en charge : un futur matériel ne pourra être intégré qu'après réception d'un premier fichier réel de ce matériel, les spécifications n'étant jamais devinées à l'avance. Plusieurs seuils du pipeline (tolérance de regroupement géométrique, seuil de similarité visuelle, rayon de recherche des candidats) restent fondés sur un nombre limité d'exemples plutôt que sur une calibration systématique. Enfin, l'hypothèse de terrain plat, jugée acceptable pour une carte de densité à l'échelle d'une plage, ne conviendrait pas à un relevé topographique plus exigeant.</w:t>
      </w:r>
    </w:p>
    <w:p>
      <w:pPr>
        <w:pStyle w:val="Heading1"/>
        <w:pageBreakBefore/>
        <w:spacing w:after="240" w:before="480"/>
      </w:pPr>
      <w:r>
        <w:t xml:space="preserve">5. Bilan de mission</w:t>
      </w:r>
    </w:p>
    <w:p>
      <w:pPr>
        <w:pStyle w:val="Heading2"/>
        <w:spacing w:after="160" w:before="340"/>
      </w:pPr>
      <w:r>
        <w:t xml:space="preserve">Objectifs</w:t>
      </w:r>
    </w:p>
    <w:p>
      <w:pPr>
        <w:spacing w:after="200"/>
        <w:jc w:val="both"/>
      </w:pPr>
      <w:r>
        <w:t xml:space="preserve">Construire une chaîne complète, de la photo drone à la carte de déchets exploitable, avec deux exigences tenues simultanément : une méthode d'entraînement rigoureuse et comparable dans le temps, et un pipeline de terrain robuste et autonome, capable de fonctionner sans dépendance réseau en conditions de mission.</w:t>
      </w:r>
    </w:p>
    <w:p>
      <w:pPr>
        <w:pStyle w:val="Heading2"/>
        <w:spacing w:after="160" w:before="340"/>
      </w:pPr>
      <w:r>
        <w:t xml:space="preserve">Solutions trouvées</w:t>
      </w:r>
    </w:p>
    <w:p>
      <w:pPr>
        <w:spacing w:after="200"/>
        <w:jc w:val="both"/>
      </w:pPr>
      <w:r>
        <w:t xml:space="preserve">La réponse apportée repose sur une séparation nette entre les deux chantiers, reliés par un seul point de passage : le choix manuel d'un modèle entraîné. Côté entraînement, une architecture de données en étapes reproductibles, un référentiel de catégories unique et traduisible sans toucher au code, un jeu de test qui ne bouge jamais, et une méthode de comparaison disciplinée ont permis de détecter puis corriger deux biais de mesure qui auraient autrement invalidé les conclusions tirées sur les réglages du modèle. Côté production, un géoréférencement direct par photo évite toute dépendance à une reconstruction préalable quand la vitesse prime, tandis que l'option par orthomosaïque reste disponible quand la précision prime ; un dédoublonnage géométrique, complété par une option de similarité visuelle, traite le cas le plus délicat du mode lot de photos ; et une carte interactive livrable en un seul fichier rend le résultat directement exploitable sur le terrain.</w:t>
      </w:r>
    </w:p>
    <w:p>
      <w:pPr>
        <w:pStyle w:val="Heading2"/>
        <w:spacing w:after="160" w:before="340"/>
      </w:pPr>
      <w:r>
        <w:t xml:space="preserve">Résultats</w:t>
      </w:r>
    </w:p>
    <w:p>
      <w:pPr>
        <w:spacing w:after="200"/>
        <w:jc w:val="both"/>
      </w:pPr>
      <w:r>
        <w:t xml:space="preserve">Le projet dispose aujourd'hui d'un modèle de référence multiclasse (43,8 % de précision macro, 36,3 % de rappel macro, mAP50-95 de 20,8 % sur le test réservé) dont les forces et les limites sont chiffrées et comprises, d'un modèle à une seule catégorie validé pour la production (F1 de 53,2 % sur son propre test réservé), et d'un pipeline de terrain fonctionnel de bout en bout sur des données réelles, incluant une carte interactive et la résolution d'un problème de performance critique qui bloquait le dédoublonnage visuel (plus d'une heure ramenée à moins d'une seconde). La capacité à faire grandir la donnée d'une zone déjà couverte dans le temps, sans perturber les comparaisons déjà établies, est également acquise, de même que la possibilité d'entraîner un modèle dédié à une seule zone sans dupliquer le pipeline principal.</w:t>
      </w:r>
    </w:p>
    <w:p>
      <w:pPr>
        <w:pStyle w:val="Heading2"/>
        <w:spacing w:after="160" w:before="340"/>
      </w:pPr>
      <w:r>
        <w:t xml:space="preserve">Contraintes toujours rencontrées</w:t>
      </w:r>
    </w:p>
    <w:p>
      <w:pPr>
        <w:spacing w:after="200"/>
        <w:jc w:val="both"/>
      </w:pPr>
      <w:r>
        <w:t xml:space="preserve">Le déséquilibre entre catégories et la faiblesse persistante de deux d'entre elles restent entiers côté entraînement. Côté production, le dédoublonnage inter-photos n'est pas résolu par défaut, un compromis assumé pour préserver l'autonomie réseau sur le terrain. L'estimation de masse reste au milieu de son cadrage, et plusieurs calibrations empiriques (seuils de dédoublonnage, convention de cap caméra, équilibre des tuiles de fond) restent à consolider faute d'un volume d'essais suffisant à ce jour.</w:t>
      </w:r>
    </w:p>
    <w:p>
      <w:pPr>
        <w:pStyle w:val="Heading1"/>
        <w:pageBreakBefore/>
        <w:spacing w:after="240" w:before="480"/>
      </w:pPr>
      <w:r>
        <w:t xml:space="preserve">6. Pistes ouvertes</w:t>
      </w:r>
    </w:p>
    <w:p>
      <w:pPr>
        <w:spacing w:after="200"/>
        <w:jc w:val="both"/>
      </w:pPr>
      <w:r>
        <w:t xml:space="preserve">Côté entraînement, les prochaines étapes les plus utiles sont l'exécution du diagnostic déjà livré sur l'équilibre des tuiles de fond, une mesure chiffrée de la distribution des tailles d'objet pour la catégorie du cordage avant de décider d'augmenter le recouvrement de tuilage, et la poursuite de la calibration du modèle de conversion aire-vers-masse : détection du repère d'échelle sur chaque photo de pesée, puis ajustement du modèle par famille d'objet.</w:t>
      </w:r>
    </w:p>
    <w:p>
      <w:pPr>
        <w:spacing w:after="200"/>
        <w:jc w:val="both"/>
      </w:pPr>
      <w:r>
        <w:t xml:space="preserve">Côté production, une validation de la convention de cap caméra sur une vraie séquence de photos qui se chevauchent reste à faire dès qu'un lot adapté sera disponible, de même qu'une décision sur la stratégie de dédoublonnage par défaut si le comptage exact des déchets, et non plus seulement leur détection, devient un besoin prioritaire. L'intégration d'un nouveau matériel de capture pourra suivre dès qu'un premier fichier réel sera disponible pour vérification.</w:t>
      </w:r>
    </w:p>
    <w:p>
      <w:pPr>
        <w:spacing w:after="200"/>
        <w:jc w:val="both"/>
      </w:pPr>
      <w:r>
        <w:t xml:space="preserve">Plus généralement, une inspection visuelle ciblée des catégories et des sites les plus faibles reste recommandée avant de trancher définitivement les pistes d'augmentation actuellement en pause faute de gain net démontré.</w:t>
      </w:r>
    </w:p>
    <w:p>
      <w:pPr>
        <w:pStyle w:val="Heading1"/>
        <w:pageBreakBefore/>
        <w:spacing w:after="240" w:before="480"/>
      </w:pPr>
      <w:r>
        <w:t xml:space="preserve">7. Annexes chiffrées</w:t>
      </w:r>
    </w:p>
    <w:p>
      <w:pPr>
        <w:spacing w:after="200"/>
        <w:jc w:val="both"/>
      </w:pPr>
      <w:r>
        <w:t xml:space="preserve">Les tableaux qui suivent reprennent les mesures actuellement disponibles à partir des sorties déjà produites par le pipeline (rapports d'évaluation, comparateurs d'essais, diagnostics de performance) plutôt que des estimations. Ils seront mis à jour à mesure que de nouvelles mesures sont produites, conformément à l'esprit de ce document. Certains points signalés en limites plus haut (équilibre des tuiles de fond, distribution des tailles d'objet pour le cordage, calibration du modèle masse/aire) ne disposent pas encore d'une sortie chiffrée exploitable ici : ils nécessiteront soit l'exécution d'un outil déjà écrit, soit le développement d'un nouvel indicateur dédié, avant de pouvoir figurer au même niveau de détail dans une prochaine version de ce rapport.</w:t>
      </w:r>
    </w:p>
    <w:p>
      <w:pPr>
        <w:pStyle w:val="Heading2"/>
        <w:spacing w:after="160" w:before="340"/>
      </w:pPr>
      <w:r>
        <w:t xml:space="preserve">Annexe A : Composition du dataset annoté par catégorie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238"/>
      </w:tblGrid>
      <w:tr>
        <w:trPr>
          <w:tblHeader/>
        </w:trPr>
        <w:tc>
          <w:tcPr>
            <w:tcW w:type="dxa" w:w="3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Catégorie</w:t>
            </w:r>
          </w:p>
        </w:tc>
        <w:tc>
          <w:tcPr>
            <w:tcW w:type="dxa" w:w="20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Instances</w:t>
            </w:r>
          </w:p>
        </w:tc>
        <w:tc>
          <w:tcPr>
            <w:tcW w:type="dxa" w:w="20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 du total</w:t>
            </w:r>
          </w:p>
        </w:tc>
        <w:tc>
          <w:tcPr>
            <w:tcW w:type="dxa" w:w="22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Images (borne sup.)</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Catégorie fourre-tout</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2528</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75,2 %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386</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Bouteille</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306</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9,1 %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150</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Tongs</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193</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5,7 %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88</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Cordage et filets</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187</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5,6 %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46</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Bidon</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61</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1,8 %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19</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Cagette</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56</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1,7 %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27</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Bouée / flotteur</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30</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0,9 %</w:t>
            </w:r>
          </w:p>
        </w:tc>
        <w:tc>
          <w:tcPr>
            <w:tcW w:type="dxa" w:w="22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13</w:t>
            </w:r>
          </w:p>
        </w:tc>
      </w:tr>
    </w:tbl>
    <w:p>
      <w:pPr>
        <w:spacing w:after="320" w:before="120"/>
      </w:pPr>
      <w:r>
        <w:rPr>
          <w:i/>
          <w:iCs/>
          <w:color w:val="5A5A5A"/>
          <w:sz w:val="19"/>
          <w:szCs w:val="19"/>
        </w:rPr>
        <w:t xml:space="preserve">3361 instances, 536 images parentes, 11 lots. Dernier audit disponible, réalisé après la fusion d'une classe de petits objets rigides dans la catégorie fourre-tout ; une classe ambiguë, un temps également fusionnée dans cette même catégorie puis réexclue par la suite au vu de ses effets, a depuis été retirée du calcul, ce qui réduit légèrement l'effectif actuel de la catégorie fourre-tout sans changer la structure du déséquilibre décrite ici.</w:t>
      </w:r>
    </w:p>
    <w:p>
      <w:pPr>
        <w:pStyle w:val="Heading2"/>
        <w:spacing w:after="160" w:before="340"/>
      </w:pPr>
      <w:r>
        <w:t xml:space="preserve">Annexe B : Représentativité de Santa Luzia dans le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1438"/>
      </w:tblGrid>
      <w:tr>
        <w:trPr>
          <w:tblHeader/>
        </w:trPr>
        <w:tc>
          <w:tcPr>
            <w:tcW w:type="dxa" w:w="3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Catégorie</w:t>
            </w:r>
          </w:p>
        </w:tc>
        <w:tc>
          <w:tcPr>
            <w:tcW w:type="dxa" w:w="2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Instances à Santa Luzia</w:t>
            </w:r>
          </w:p>
        </w:tc>
        <w:tc>
          <w:tcPr>
            <w:tcW w:type="dxa" w:w="2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Instances dans tout le dataset</w:t>
            </w:r>
          </w:p>
        </w:tc>
        <w:tc>
          <w:tcPr>
            <w:tcW w:type="dxa" w:w="14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Part portée par Santa Luzia</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Bidon</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60</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61</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98 %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Cordage et filets</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148</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187</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79 %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Cagette</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49</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56</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88 %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Bouteille</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146</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306</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48 %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Catégorie fourre-tout</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490</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2528</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19 %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Tongs</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32</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193</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17 %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Bouée / flotteur</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8</w:t>
            </w:r>
          </w:p>
        </w:tc>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30</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27 %</w:t>
            </w:r>
          </w:p>
        </w:tc>
      </w:tr>
    </w:tbl>
    <w:p>
      <w:pPr>
        <w:spacing w:after="320" w:before="120"/>
      </w:pPr>
      <w:r>
        <w:rPr>
          <w:i/>
          <w:iCs/>
          <w:color w:val="5A5A5A"/>
          <w:sz w:val="19"/>
          <w:szCs w:val="19"/>
        </w:rPr>
        <w:t xml:space="preserve">Un même audit (voir annexe A) montre que trois catégories minoritaires du dataset global sont presque exclusivement issues de Santa Luzia, un déséquilibre géographique distinct du déséquilibre de catégories qui explique en partie pourquoi certaines catégories transfèrent mal aux autres sites (voir 3.4).</w:t>
      </w:r>
    </w:p>
    <w:p>
      <w:pPr>
        <w:pStyle w:val="Heading2"/>
        <w:spacing w:after="160" w:before="340"/>
      </w:pPr>
      <w:r>
        <w:t xml:space="preserve">Annexe C : Réglages testés contre la configuration de référence (test réservé)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1300"/>
        <w:gridCol w:w="1400"/>
        <w:gridCol w:w="1250"/>
        <w:gridCol w:w="1138"/>
      </w:tblGrid>
      <w:tr>
        <w:trPr>
          <w:tblHeader/>
        </w:trPr>
        <w:tc>
          <w:tcPr>
            <w:tcW w:type="dxa" w:w="3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Réglage testé</w:t>
            </w:r>
          </w:p>
        </w:tc>
        <w:tc>
          <w:tcPr>
            <w:tcW w:type="dxa" w:w="135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Δ précision macro</w:t>
            </w:r>
          </w:p>
        </w:tc>
        <w:tc>
          <w:tcPr>
            <w:tcW w:type="dxa" w:w="13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Δ rappel macro</w:t>
            </w:r>
          </w:p>
        </w:tc>
        <w:tc>
          <w:tcPr>
            <w:tcW w:type="dxa" w:w="1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Δ précision globale</w:t>
            </w:r>
          </w:p>
        </w:tc>
        <w:tc>
          <w:tcPr>
            <w:tcW w:type="dxa" w:w="125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Δ rappel global</w:t>
            </w:r>
          </w:p>
        </w:tc>
        <w:tc>
          <w:tcPr>
            <w:tcW w:type="dxa" w:w="11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Δ mAP50-95</w:t>
            </w:r>
          </w:p>
        </w:tc>
      </w:tr>
      <w:tr>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Collage d'instances (rééquilibrage)</w:t>
            </w:r>
          </w:p>
        </w:tc>
        <w:tc>
          <w:tcPr>
            <w:tcW w:type="dxa" w:w="13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-0,4 pp</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-3,8 pp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-8,4 pp</w:t>
            </w:r>
          </w:p>
        </w:tc>
        <w:tc>
          <w:tcPr>
            <w:tcW w:type="dxa" w:w="12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+0,8 pp</w:t>
            </w:r>
          </w:p>
        </w:tc>
        <w:tc>
          <w:tcPr>
            <w:tcW w:type="dxa" w:w="11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-0,4 pp</w:t>
            </w:r>
          </w:p>
        </w:tc>
      </w:tr>
      <w:tr>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Repondération de la perte par classe</w:t>
            </w:r>
          </w:p>
        </w:tc>
        <w:tc>
          <w:tcPr>
            <w:tcW w:type="dxa" w:w="13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+2,7 pp</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-7,9 pp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+6,1 pp</w:t>
            </w:r>
          </w:p>
        </w:tc>
        <w:tc>
          <w:tcPr>
            <w:tcW w:type="dxa" w:w="12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-6,7 pp</w:t>
            </w:r>
          </w:p>
        </w:tc>
        <w:tc>
          <w:tcPr>
            <w:tcW w:type="dxa" w:w="11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-1,2 pp</w:t>
            </w:r>
          </w:p>
        </w:tc>
      </w:tr>
      <w:tr>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Mélange d'images (mixup)</w:t>
            </w:r>
          </w:p>
        </w:tc>
        <w:tc>
          <w:tcPr>
            <w:tcW w:type="dxa" w:w="13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+3,7 pp</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-3,2 pp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+6,9 pp</w:t>
            </w:r>
          </w:p>
        </w:tc>
        <w:tc>
          <w:tcPr>
            <w:tcW w:type="dxa" w:w="12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-6,9 pp</w:t>
            </w:r>
          </w:p>
        </w:tc>
        <w:tc>
          <w:tcPr>
            <w:tcW w:type="dxa" w:w="11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+1,6 pp</w:t>
            </w:r>
          </w:p>
        </w:tc>
      </w:tr>
      <w:tr>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Désactivation de la fusion des masques superposés</w:t>
            </w:r>
          </w:p>
        </w:tc>
        <w:tc>
          <w:tcPr>
            <w:tcW w:type="dxa" w:w="13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-3,9 pp</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-0,9 pp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-6,9 pp</w:t>
            </w:r>
          </w:p>
        </w:tc>
        <w:tc>
          <w:tcPr>
            <w:tcW w:type="dxa" w:w="125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+1,6 pp</w:t>
            </w:r>
          </w:p>
        </w:tc>
        <w:tc>
          <w:tcPr>
            <w:tcW w:type="dxa" w:w="11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-3,1 pp</w:t>
            </w:r>
          </w:p>
        </w:tc>
      </w:tr>
    </w:tbl>
    <w:p>
      <w:pPr>
        <w:spacing w:after="320" w:before="120"/>
      </w:pPr>
      <w:r>
        <w:rPr>
          <w:i/>
          <w:iCs/>
          <w:color w:val="5A5A5A"/>
          <w:sz w:val="19"/>
          <w:szCs w:val="19"/>
        </w:rPr>
        <w:t xml:space="preserve">Écarts mesurés sur le même jeu de test réservé, un seul réglage modifié à la fois par rapport à la configuration de référence. Un cinquième essai (retrait complet de la catégorie fourre-tout) n'est pas comparable terme à terme, la taxonomie évaluée différant : il n'a montré aucune amélioration nette sur les six catégories communes aux deux configurations.</w:t>
      </w:r>
    </w:p>
    <w:p>
      <w:pPr>
        <w:pStyle w:val="Heading2"/>
        <w:spacing w:after="160" w:before="340"/>
      </w:pPr>
      <w:r>
        <w:t xml:space="preserve">Annexe D : Sélection du modèle mono-catégorie retenu pour la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300"/>
        <w:gridCol w:w="1538"/>
      </w:tblGrid>
      <w:tr>
        <w:trPr>
          <w:tblHeader/>
        </w:trPr>
        <w:tc>
          <w:tcPr>
            <w:tcW w:type="dxa" w:w="3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Configuration</w:t>
            </w:r>
          </w:p>
        </w:tc>
        <w:tc>
          <w:tcPr>
            <w:tcW w:type="dxa" w:w="1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Précision</w:t>
            </w:r>
          </w:p>
        </w:tc>
        <w:tc>
          <w:tcPr>
            <w:tcW w:type="dxa" w:w="1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Rappel</w:t>
            </w:r>
          </w:p>
        </w:tc>
        <w:tc>
          <w:tcPr>
            <w:tcW w:type="dxa" w:w="13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F1</w:t>
            </w:r>
          </w:p>
        </w:tc>
        <w:tc>
          <w:tcPr>
            <w:tcW w:type="dxa" w:w="15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mAP50-95</w:t>
            </w:r>
          </w:p>
        </w:tc>
      </w:tr>
      <w:tr>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Configuration de départ</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45,5 %</w:t>
            </w:r>
          </w:p>
        </w:tc>
        <w:tc>
          <w:tcPr>
            <w:tcW w:type="dxa" w:w="1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r>
      <w:tr>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Architecture plus légère, sans augmentation nadir</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46,2 %</w:t>
            </w:r>
          </w:p>
        </w:tc>
        <w:tc>
          <w:tcPr>
            <w:tcW w:type="dxa" w:w="1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r>
      <w:tr>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Résolution d'entrée élargie (960 px)</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49,4 %</w:t>
            </w:r>
          </w:p>
        </w:tc>
        <w:tc>
          <w:tcPr>
            <w:tcW w:type="dxa" w:w="1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r>
      <w:tr>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Architecture plus légère, recette optimisée</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51,9 %</w:t>
            </w:r>
          </w:p>
        </w:tc>
        <w:tc>
          <w:tcPr>
            <w:tcW w:type="dxa" w:w="1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n.d.</w:t>
            </w:r>
          </w:p>
        </w:tc>
      </w:tr>
      <w:tr>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Architecture retenue, recette optimisée</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53,8 %</w:t>
            </w:r>
          </w:p>
        </w:tc>
        <w:tc>
          <w:tcPr>
            <w:tcW w:type="dxa" w:w="1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52,7 %</w:t>
            </w:r>
          </w:p>
        </w:tc>
        <w:tc>
          <w:tcPr>
            <w:tcW w:type="dxa" w:w="13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53,2 %</w:t>
            </w:r>
          </w:p>
        </w:tc>
        <w:tc>
          <w:tcPr>
            <w:tcW w:type="dxa" w:w="1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31,3 %</w:t>
            </w:r>
          </w:p>
        </w:tc>
      </w:tr>
    </w:tbl>
    <w:p>
      <w:pPr>
        <w:spacing w:after="320" w:before="120"/>
      </w:pPr>
      <w:r>
        <w:rPr>
          <w:i/>
          <w:iCs/>
          <w:color w:val="5A5A5A"/>
          <w:sz w:val="19"/>
          <w:szCs w:val="19"/>
        </w:rPr>
        <w:t xml:space="preserve">Comparaison de huit configurations mono-catégorie sur le même jeu de test réservé ; seules les cinq configurations les plus informatives sont listées ici. La mention n.d. indique une valeur non surfacée dans le rapport d'évaluation de cette configuration, pas une valeur nulle.</w:t>
      </w:r>
    </w:p>
    <w:p>
      <w:pPr>
        <w:pStyle w:val="Heading2"/>
        <w:spacing w:after="160" w:before="340"/>
      </w:pPr>
      <w:r>
        <w:t xml:space="preserve">Annexe E : Registre des capteurs pris en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000"/>
        <w:gridCol w:w="1438"/>
      </w:tblGrid>
      <w:tr>
        <w:trPr>
          <w:tblHeader/>
        </w:trPr>
        <w:tc>
          <w:tcPr>
            <w:tcW w:type="dxa" w:w="2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Capteur</w:t>
            </w:r>
          </w:p>
        </w:tc>
        <w:tc>
          <w:tcPr>
            <w:tcW w:type="dxa" w:w="19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Résolution native</w:t>
            </w:r>
          </w:p>
        </w:tc>
        <w:tc>
          <w:tcPr>
            <w:tcW w:type="dxa" w:w="19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Taille de capteur</w:t>
            </w:r>
          </w:p>
        </w:tc>
        <w:tc>
          <w:tcPr>
            <w:tcW w:type="dxa" w:w="20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Précision GPS (sans RTK)</w:t>
            </w:r>
          </w:p>
        </w:tc>
        <w:tc>
          <w:tcPr>
            <w:tcW w:type="dxa" w:w="14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Tolérance d'inclinaison</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DJI Air 2S (module FC3411)</w:t>
            </w:r>
          </w:p>
        </w:tc>
        <w:tc>
          <w:tcPr>
            <w:tcW w:type="dxa" w:w="1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5472 × 3648 px</w:t>
            </w:r>
          </w:p>
        </w:tc>
        <w:tc>
          <w:tcPr>
            <w:tcW w:type="dxa" w:w="1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13,13 × 8,76 mm</w:t>
            </w:r>
          </w:p>
        </w:tc>
        <w:tc>
          <w:tcPr>
            <w:tcW w:type="dxa" w:w="20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±1,5 m horiz. / ±0,5 m vert.</w:t>
            </w:r>
          </w:p>
        </w:tc>
        <w:tc>
          <w:tcPr>
            <w:tcW w:type="dxa" w:w="1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5°</w:t>
            </w:r>
          </w:p>
        </w:tc>
      </w:tr>
    </w:tbl>
    <w:p>
      <w:pPr>
        <w:spacing w:after="320" w:before="120"/>
      </w:pPr>
      <w:r>
        <w:rPr>
          <w:i/>
          <w:iCs/>
          <w:color w:val="5A5A5A"/>
          <w:sz w:val="19"/>
          <w:szCs w:val="19"/>
        </w:rPr>
        <w:t xml:space="preserve">Un seul capteur est aujourd'hui renseigné ; un nouveau matériel n'est ajouté qu'après réception d'un fichier réel permettant de vérifier ses métadonnées, jamais depuis une fiche technique seule.</w:t>
      </w:r>
    </w:p>
    <w:p>
      <w:pPr>
        <w:pStyle w:val="Heading2"/>
        <w:spacing w:after="160" w:before="340"/>
      </w:pPr>
      <w:r>
        <w:t xml:space="preserve">Annexe F : Diagnostic chiffré du dédoublonnage inter-photos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9"/>
                <w:szCs w:val="19"/>
              </w:rPr>
              <w:t xml:space="preserve">Méthode</w:t>
            </w:r>
          </w:p>
        </w:tc>
        <w:tc>
          <w:tcPr>
            <w:tcW w:type="dxa" w:w="3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Cas mesuré</w:t>
            </w:r>
          </w:p>
        </w:tc>
        <w:tc>
          <w:tcPr>
            <w:tcW w:type="dxa" w:w="34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9"/>
                <w:szCs w:val="19"/>
              </w:rPr>
              <w:t xml:space="preserve">Résultat</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Géométrique seule (IoU)</w:t>
            </w:r>
          </w:p>
        </w:tc>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3044 détections sur 34 photos, seuil habituel</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0 regroupement</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Géométrique seule (IoU)</w:t>
            </w:r>
          </w:p>
        </w:tc>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même lot, seuil abaissé à une valeur extrême</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jamais moins de ~4 sous-groupes pour un même objet</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Hybride géométrie + similarité visuelle</w:t>
            </w:r>
          </w:p>
        </w:tc>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similarité cosinus, mêmes vues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de 0,55 à 0,76 (même objet) contre 0,40 à 0,44 (objet distinct proche)</w:t>
            </w:r>
          </w:p>
        </w:tc>
      </w:tr>
      <w:tr>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9"/>
                <w:szCs w:val="19"/>
              </w:rPr>
              <w:t xml:space="preserve">Correctif de performance (hybride)</w:t>
            </w:r>
          </w:p>
        </w:tc>
        <w:tc>
          <w:tcPr>
            <w:tcW w:type="dxa" w:w="3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même lot complet, avant et après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center"/>
            </w:pPr>
            <w:r>
              <w:rPr>
                <w:b w:val="false"/>
                <w:bCs w:val="false"/>
                <w:color w:val="1A1A1A"/>
                <w:sz w:val="19"/>
                <w:szCs w:val="19"/>
              </w:rPr>
              <w:t xml:space="preserve">ramené de plus d'1 heure à 0,73 seconde</w:t>
            </w:r>
          </w:p>
        </w:tc>
      </w:tr>
    </w:tbl>
    <w:p>
      <w:pPr>
        <w:spacing w:after="320" w:before="120"/>
      </w:pPr>
      <w:r>
        <w:rPr>
          <w:i/>
          <w:iCs/>
          <w:color w:val="5A5A5A"/>
          <w:sz w:val="19"/>
          <w:szCs w:val="19"/>
        </w:rPr>
        <w:t xml:space="preserve">Mesures réalisées sur un même batch réel de mission. Le seuil de similarité par défaut retenu en production est 0,5, combiné à un filtre de proximité de 2 mètres.</w:t>
      </w:r>
    </w:p>
    <w:p>
      <w:pPr>
        <w:spacing w:after="300"/>
      </w:pPr>
    </w:p>
    <w:p>
      <w:r>
        <w:rPr>
          <w:i/>
          <w:iCs/>
          <w:color w:val="5A5A5A"/>
          <w:sz w:val="20"/>
          <w:szCs w:val="20"/>
        </w:rPr>
        <w:t xml:space="preserve">Fin du document de base. Toutes les décisions détaillées ici, avec leur raisonnement complet, restent tracées dans le journal de décisions du projet, qui reste la source de référence en cas de doute sur un choix ou un résultat.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5C4A"/>
      <w:sz w:val="32"/>
      <w:szCs w:val="32"/>
    </w:rPr>
  </w:style>
  <w:style w:type="paragraph" w:styleId="Heading2">
    <w:name w:val="Heading 2"/>
    <w:basedOn w:val="Normal"/>
    <w:next w:val="Normal"/>
    <w:qFormat/>
    <w:pPr>
      <w:spacing w:after="160" w:before="340"/>
      <w:outlineLvl w:val="1"/>
    </w:pPr>
    <w:rPr>
      <w:rFonts w:ascii="Calibri" w:cs="Calibri" w:eastAsia="Calibri" w:hAnsi="Calibri"/>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18399ed047e14fff6649dd670e491234c9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2026-09-07T15:17:41.157Z</dcterms:created>
  <dcterms:modified xsi:type="dcterms:W3CDTF">2026-09-07T15:17:41.173Z</dcterms:modified>
</cp:coreProperties>
</file>

<file path=docProps/custom.xml><?xml version="1.0" encoding="utf-8"?>
<Properties xmlns="http://schemas.openxmlformats.org/officeDocument/2006/custom-properties" xmlns:vt="http://schemas.openxmlformats.org/officeDocument/2006/docPropsVTypes"/>
</file>