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ECCAB">
      <w:pPr>
        <w:jc w:val="center"/>
        <w:rPr>
          <w:rFonts w:ascii="Times New Roman" w:hAnsi="Times New Roman" w:cs="Times New Roman"/>
        </w:rPr>
      </w:pPr>
      <w:r>
        <w:rPr>
          <w:rFonts w:ascii="Times New Roman" w:hAnsi="Times New Roman" w:cs="Times New Roman"/>
        </w:rPr>
        <w:drawing>
          <wp:inline distT="0" distB="0" distL="0" distR="0">
            <wp:extent cx="2993390" cy="698500"/>
            <wp:effectExtent l="0" t="0" r="16510" b="6350"/>
            <wp:docPr id="14129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00669"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3008034" cy="701875"/>
                    </a:xfrm>
                    <a:prstGeom prst="rect">
                      <a:avLst/>
                    </a:prstGeom>
                  </pic:spPr>
                </pic:pic>
              </a:graphicData>
            </a:graphic>
          </wp:inline>
        </w:drawing>
      </w:r>
    </w:p>
    <w:p w14:paraId="218E77EB">
      <w:pPr>
        <w:jc w:val="center"/>
        <w:rPr>
          <w:rFonts w:ascii="Times New Roman" w:hAnsi="Times New Roman" w:cs="Times New Roman"/>
          <w:b/>
          <w:bCs/>
          <w:sz w:val="32"/>
          <w:szCs w:val="32"/>
        </w:rPr>
      </w:pPr>
      <w:r>
        <w:rPr>
          <w:rFonts w:ascii="Times New Roman" w:hAnsi="Times New Roman" w:cs="Times New Roman"/>
          <w:b/>
          <w:bCs/>
          <w:sz w:val="32"/>
          <w:szCs w:val="32"/>
        </w:rPr>
        <w:t>FACULTY OF ENGINEERING, DESIGN AND TECHNOLOGY</w:t>
      </w:r>
    </w:p>
    <w:p w14:paraId="719B23E5">
      <w:pPr>
        <w:jc w:val="center"/>
        <w:rPr>
          <w:rFonts w:ascii="Times New Roman" w:hAnsi="Times New Roman" w:cs="Times New Roman"/>
          <w:sz w:val="28"/>
          <w:szCs w:val="28"/>
        </w:rPr>
      </w:pPr>
      <w:r>
        <w:rPr>
          <w:rFonts w:ascii="Times New Roman" w:hAnsi="Times New Roman" w:cs="Times New Roman"/>
          <w:sz w:val="28"/>
          <w:szCs w:val="28"/>
        </w:rPr>
        <w:t>DEPARTMENT OF COMPUTING AND TECHNOLOGY</w:t>
      </w:r>
    </w:p>
    <w:p w14:paraId="5A8C0F92">
      <w:pPr>
        <w:jc w:val="center"/>
        <w:rPr>
          <w:rFonts w:ascii="Times New Roman" w:hAnsi="Times New Roman" w:cs="Times New Roman"/>
          <w:sz w:val="28"/>
          <w:szCs w:val="28"/>
        </w:rPr>
      </w:pPr>
    </w:p>
    <w:p w14:paraId="67BD0ADD">
      <w:pPr>
        <w:rPr>
          <w:rFonts w:ascii="Times New Roman" w:hAnsi="Times New Roman" w:cs="Times New Roman"/>
        </w:rPr>
      </w:pPr>
    </w:p>
    <w:p w14:paraId="5A56B818">
      <w:pPr>
        <w:jc w:val="center"/>
        <w:rPr>
          <w:rFonts w:ascii="Times New Roman" w:hAnsi="Times New Roman" w:cs="Times New Roman"/>
        </w:rPr>
      </w:pPr>
      <w:r>
        <w:rPr>
          <w:rFonts w:ascii="Times New Roman" w:hAnsi="Times New Roman" w:cs="Times New Roman"/>
        </w:rPr>
        <w:t>___________________________________________________________________________________</w:t>
      </w:r>
    </w:p>
    <w:p w14:paraId="4BE15B91">
      <w:pPr>
        <w:rPr>
          <w:rFonts w:ascii="Times New Roman" w:hAnsi="Times New Roman" w:cs="Times New Roman"/>
          <w:sz w:val="24"/>
          <w:szCs w:val="24"/>
        </w:rPr>
      </w:pPr>
    </w:p>
    <w:p w14:paraId="5080EABE">
      <w:pPr>
        <w:rPr>
          <w:rFonts w:ascii="Times New Roman" w:hAnsi="Times New Roman" w:cs="Times New Roman"/>
          <w:sz w:val="24"/>
          <w:szCs w:val="24"/>
        </w:rPr>
      </w:pPr>
    </w:p>
    <w:p w14:paraId="077392FD">
      <w:pPr>
        <w:rPr>
          <w:rFonts w:hint="default" w:ascii="Times New Roman" w:hAnsi="Times New Roman" w:cs="Times New Roman"/>
          <w:sz w:val="24"/>
          <w:szCs w:val="24"/>
          <w:lang w:val="en-US"/>
        </w:rPr>
      </w:pPr>
      <w:r>
        <w:rPr>
          <w:rFonts w:ascii="Times New Roman" w:hAnsi="Times New Roman" w:cs="Times New Roman"/>
          <w:b/>
          <w:bCs/>
          <w:sz w:val="24"/>
          <w:szCs w:val="24"/>
        </w:rPr>
        <w:t>Name:</w:t>
      </w:r>
      <w:r>
        <w:rPr>
          <w:rFonts w:ascii="Times New Roman" w:hAnsi="Times New Roman" w:cs="Times New Roman"/>
          <w:sz w:val="24"/>
          <w:szCs w:val="24"/>
        </w:rPr>
        <w:t xml:space="preserve"> </w:t>
      </w:r>
      <w:r>
        <w:rPr>
          <w:rFonts w:hint="default" w:ascii="Times New Roman" w:hAnsi="Times New Roman" w:cs="Times New Roman"/>
          <w:sz w:val="24"/>
          <w:szCs w:val="24"/>
          <w:lang w:val="en-US"/>
        </w:rPr>
        <w:t>MAGEZI RICHARD ELIJAH</w:t>
      </w:r>
    </w:p>
    <w:p w14:paraId="71E48F54">
      <w:pPr>
        <w:rPr>
          <w:rFonts w:hint="default" w:ascii="Times New Roman" w:hAnsi="Times New Roman" w:cs="Times New Roman"/>
          <w:sz w:val="24"/>
          <w:szCs w:val="24"/>
          <w:lang w:val="en-US"/>
        </w:rPr>
      </w:pPr>
      <w:r>
        <w:rPr>
          <w:rFonts w:ascii="Times New Roman" w:hAnsi="Times New Roman" w:cs="Times New Roman"/>
          <w:b/>
          <w:bCs/>
          <w:sz w:val="24"/>
          <w:szCs w:val="24"/>
        </w:rPr>
        <w:t>Access Number:</w:t>
      </w:r>
      <w:r>
        <w:rPr>
          <w:rFonts w:ascii="Times New Roman" w:hAnsi="Times New Roman" w:cs="Times New Roman"/>
          <w:sz w:val="24"/>
          <w:szCs w:val="24"/>
        </w:rPr>
        <w:t xml:space="preserve"> B2</w:t>
      </w:r>
      <w:r>
        <w:rPr>
          <w:rFonts w:hint="default" w:ascii="Times New Roman" w:hAnsi="Times New Roman" w:cs="Times New Roman"/>
          <w:sz w:val="24"/>
          <w:szCs w:val="24"/>
          <w:lang w:val="en-US"/>
        </w:rPr>
        <w:t>7258</w:t>
      </w:r>
    </w:p>
    <w:p w14:paraId="685B866B">
      <w:pPr>
        <w:rPr>
          <w:rFonts w:ascii="Times New Roman" w:hAnsi="Times New Roman" w:cs="Times New Roman"/>
          <w:sz w:val="24"/>
          <w:szCs w:val="24"/>
        </w:rPr>
      </w:pPr>
      <w:r>
        <w:rPr>
          <w:rFonts w:ascii="Times New Roman" w:hAnsi="Times New Roman" w:cs="Times New Roman"/>
          <w:b/>
          <w:bCs/>
          <w:sz w:val="24"/>
          <w:szCs w:val="24"/>
        </w:rPr>
        <w:t>Registration Number:</w:t>
      </w:r>
      <w:r>
        <w:rPr>
          <w:rFonts w:ascii="Times New Roman" w:hAnsi="Times New Roman" w:cs="Times New Roman"/>
          <w:sz w:val="24"/>
          <w:szCs w:val="24"/>
        </w:rPr>
        <w:t xml:space="preserve"> M24B13/0</w:t>
      </w:r>
      <w:r>
        <w:rPr>
          <w:rFonts w:hint="default" w:ascii="Times New Roman" w:hAnsi="Times New Roman" w:cs="Times New Roman"/>
          <w:sz w:val="24"/>
          <w:szCs w:val="24"/>
          <w:lang w:val="en-US"/>
        </w:rPr>
        <w:t>19</w:t>
      </w:r>
      <w:r>
        <w:rPr>
          <w:rFonts w:ascii="Times New Roman" w:hAnsi="Times New Roman" w:cs="Times New Roman"/>
          <w:sz w:val="24"/>
          <w:szCs w:val="24"/>
        </w:rPr>
        <w:t xml:space="preserve"> </w:t>
      </w:r>
    </w:p>
    <w:p w14:paraId="1A40AF49">
      <w:pPr>
        <w:rPr>
          <w:rFonts w:ascii="Times New Roman" w:hAnsi="Times New Roman" w:cs="Times New Roman"/>
          <w:sz w:val="24"/>
          <w:szCs w:val="24"/>
        </w:rPr>
      </w:pPr>
      <w:r>
        <w:rPr>
          <w:rFonts w:ascii="Times New Roman" w:hAnsi="Times New Roman" w:cs="Times New Roman"/>
          <w:b/>
          <w:bCs/>
          <w:sz w:val="24"/>
          <w:szCs w:val="24"/>
        </w:rPr>
        <w:t>Student Email:</w:t>
      </w:r>
      <w:r>
        <w:rPr>
          <w:rFonts w:ascii="Times New Roman" w:hAnsi="Times New Roman" w:cs="Times New Roman"/>
          <w:sz w:val="24"/>
          <w:szCs w:val="24"/>
        </w:rPr>
        <w:t xml:space="preserve"> </w:t>
      </w:r>
      <w:r>
        <w:rPr>
          <w:rFonts w:ascii="Times New Roman" w:hAnsi="Times New Roman" w:cs="Times New Roman"/>
          <w:i/>
          <w:iCs/>
          <w:sz w:val="24"/>
          <w:szCs w:val="24"/>
        </w:rPr>
        <w:t>b2</w:t>
      </w:r>
      <w:r>
        <w:rPr>
          <w:rFonts w:hint="default" w:ascii="Times New Roman" w:hAnsi="Times New Roman" w:cs="Times New Roman"/>
          <w:i/>
          <w:iCs/>
          <w:sz w:val="24"/>
          <w:szCs w:val="24"/>
          <w:lang w:val="en-US"/>
        </w:rPr>
        <w:t>7258</w:t>
      </w:r>
      <w:r>
        <w:rPr>
          <w:rFonts w:ascii="Times New Roman" w:hAnsi="Times New Roman" w:cs="Times New Roman"/>
          <w:i/>
          <w:iCs/>
          <w:sz w:val="24"/>
          <w:szCs w:val="24"/>
        </w:rPr>
        <w:t>@students.ucu.ac.ug</w:t>
      </w:r>
    </w:p>
    <w:p w14:paraId="3E913306">
      <w:pPr>
        <w:rPr>
          <w:rFonts w:ascii="Times New Roman" w:hAnsi="Times New Roman" w:cs="Times New Roman"/>
          <w:sz w:val="24"/>
          <w:szCs w:val="24"/>
        </w:rPr>
      </w:pPr>
      <w:r>
        <w:rPr>
          <w:rFonts w:ascii="Times New Roman" w:hAnsi="Times New Roman" w:cs="Times New Roman"/>
          <w:b/>
          <w:bCs/>
          <w:sz w:val="24"/>
          <w:szCs w:val="24"/>
        </w:rPr>
        <w:t>Course:</w:t>
      </w:r>
      <w:r>
        <w:rPr>
          <w:rFonts w:ascii="Times New Roman" w:hAnsi="Times New Roman" w:cs="Times New Roman"/>
          <w:sz w:val="24"/>
          <w:szCs w:val="24"/>
        </w:rPr>
        <w:t xml:space="preserve"> Bachelors of Science in Information Technology</w:t>
      </w:r>
    </w:p>
    <w:p w14:paraId="635F4D29">
      <w:pPr>
        <w:rPr>
          <w:rFonts w:hint="default" w:ascii="Times New Roman" w:hAnsi="Times New Roman" w:cs="Times New Roman"/>
          <w:sz w:val="24"/>
          <w:szCs w:val="24"/>
          <w:lang w:val="en-US"/>
        </w:rPr>
      </w:pPr>
      <w:r>
        <w:rPr>
          <w:rFonts w:ascii="Times New Roman" w:hAnsi="Times New Roman" w:cs="Times New Roman"/>
          <w:b/>
          <w:bCs/>
          <w:sz w:val="24"/>
          <w:szCs w:val="24"/>
        </w:rPr>
        <w:t>Course Unit:</w:t>
      </w:r>
      <w:r>
        <w:rPr>
          <w:rFonts w:ascii="Times New Roman" w:hAnsi="Times New Roman" w:cs="Times New Roman"/>
          <w:sz w:val="24"/>
          <w:szCs w:val="24"/>
        </w:rPr>
        <w:t xml:space="preserve"> </w:t>
      </w:r>
      <w:r>
        <w:rPr>
          <w:rFonts w:ascii="Times New Roman" w:hAnsi="Times New Roman" w:cs="Times New Roman"/>
          <w:sz w:val="24"/>
          <w:szCs w:val="24"/>
          <w:lang w:val="en-US"/>
        </w:rPr>
        <w:t>Computational</w:t>
      </w:r>
      <w:r>
        <w:rPr>
          <w:rFonts w:hint="default" w:ascii="Times New Roman" w:hAnsi="Times New Roman" w:cs="Times New Roman"/>
          <w:sz w:val="24"/>
          <w:szCs w:val="24"/>
          <w:lang w:val="en-US"/>
        </w:rPr>
        <w:t xml:space="preserve"> Research Methods</w:t>
      </w:r>
    </w:p>
    <w:p w14:paraId="5A2011E2">
      <w:pPr>
        <w:rPr>
          <w:rFonts w:hint="default" w:ascii="Times New Roman" w:hAnsi="Times New Roman" w:cs="Times New Roman"/>
          <w:sz w:val="24"/>
          <w:szCs w:val="24"/>
          <w:lang w:val="en-US"/>
        </w:rPr>
      </w:pPr>
      <w:r>
        <w:rPr>
          <w:rFonts w:ascii="Times New Roman" w:hAnsi="Times New Roman" w:cs="Times New Roman"/>
          <w:b/>
          <w:bCs/>
          <w:sz w:val="24"/>
          <w:szCs w:val="24"/>
        </w:rPr>
        <w:t>Course Instructors:</w:t>
      </w:r>
      <w:r>
        <w:rPr>
          <w:rFonts w:ascii="Times New Roman" w:hAnsi="Times New Roman" w:cs="Times New Roman"/>
          <w:sz w:val="24"/>
          <w:szCs w:val="24"/>
        </w:rPr>
        <w:t xml:space="preserve"> Mr. </w:t>
      </w:r>
      <w:r>
        <w:rPr>
          <w:rFonts w:hint="default" w:ascii="Times New Roman" w:hAnsi="Times New Roman" w:cs="Times New Roman"/>
          <w:sz w:val="24"/>
          <w:szCs w:val="24"/>
          <w:lang w:val="en-US"/>
        </w:rPr>
        <w:t>Sembatya Richard</w:t>
      </w:r>
      <w:r>
        <w:rPr>
          <w:rFonts w:ascii="Times New Roman" w:hAnsi="Times New Roman" w:cs="Times New Roman"/>
          <w:sz w:val="24"/>
          <w:szCs w:val="24"/>
        </w:rPr>
        <w:t xml:space="preserve"> | Ms.</w:t>
      </w:r>
      <w:r>
        <w:rPr>
          <w:rFonts w:hint="default" w:ascii="Times New Roman" w:hAnsi="Times New Roman" w:cs="Times New Roman"/>
          <w:sz w:val="24"/>
          <w:szCs w:val="24"/>
          <w:lang w:val="en-US"/>
        </w:rPr>
        <w:t>Namanya Desire</w:t>
      </w:r>
    </w:p>
    <w:p w14:paraId="1544A4D5">
      <w:pPr>
        <w:jc w:val="both"/>
        <w:rPr>
          <w:rFonts w:hint="default" w:ascii="Trebuchet MS" w:hAnsi="Trebuchet MS" w:cs="Trebuchet MS"/>
          <w:sz w:val="24"/>
          <w:szCs w:val="24"/>
          <w:lang w:val="en-US"/>
        </w:rPr>
        <w:sectPr>
          <w:pgSz w:w="11906" w:h="16838"/>
          <w:pgMar w:top="1440" w:right="1800" w:bottom="1440" w:left="1800" w:header="720" w:footer="720" w:gutter="0"/>
          <w:cols w:space="720" w:num="1"/>
          <w:docGrid w:linePitch="360" w:charSpace="0"/>
        </w:sectPr>
      </w:pPr>
    </w:p>
    <w:p w14:paraId="63360B3B">
      <w:pPr>
        <w:jc w:val="center"/>
        <w:rPr>
          <w:rFonts w:hint="default" w:ascii="Trebuchet MS" w:hAnsi="Trebuchet MS" w:cs="Trebuchet MS"/>
          <w:b/>
          <w:bCs/>
          <w:sz w:val="28"/>
          <w:szCs w:val="28"/>
          <w:lang w:val="en-US"/>
        </w:rPr>
      </w:pPr>
      <w:r>
        <w:rPr>
          <w:rFonts w:hint="default" w:ascii="Trebuchet MS" w:hAnsi="Trebuchet MS" w:cs="Trebuchet MS"/>
          <w:b/>
          <w:bCs/>
          <w:sz w:val="28"/>
          <w:szCs w:val="28"/>
          <w:lang w:val="en-US"/>
        </w:rPr>
        <w:t>Common Research Challenges in Uganda and how they can be resolved</w:t>
      </w:r>
    </w:p>
    <w:p w14:paraId="2595DB3F">
      <w:pPr>
        <w:jc w:val="center"/>
        <w:rPr>
          <w:rFonts w:hint="default" w:ascii="Trebuchet MS" w:hAnsi="Trebuchet MS" w:cs="Trebuchet MS"/>
          <w:b/>
          <w:bCs/>
          <w:sz w:val="28"/>
          <w:szCs w:val="28"/>
          <w:lang w:val="en-US"/>
        </w:rPr>
      </w:pPr>
    </w:p>
    <w:p w14:paraId="576ABEC3">
      <w:pPr>
        <w:jc w:val="both"/>
        <w:rPr>
          <w:rFonts w:hint="default" w:ascii="Trebuchet MS" w:hAnsi="Trebuchet MS" w:cs="Trebuchet MS"/>
          <w:sz w:val="24"/>
          <w:szCs w:val="24"/>
          <w:lang w:val="en-US"/>
        </w:rPr>
      </w:pPr>
      <w:r>
        <w:rPr>
          <w:rFonts w:hint="default" w:ascii="Trebuchet MS" w:hAnsi="Trebuchet MS" w:cs="Trebuchet MS"/>
          <w:sz w:val="24"/>
          <w:szCs w:val="24"/>
          <w:lang w:val="en-US"/>
        </w:rPr>
        <w:t xml:space="preserve">Research often offers a unique landscape of opportunities in many sectors like public health, agriculture and social sciences but it comes with varying </w:t>
      </w:r>
      <w:bookmarkStart w:id="0" w:name="_GoBack"/>
      <w:bookmarkEnd w:id="0"/>
      <w:r>
        <w:rPr>
          <w:rFonts w:hint="default" w:ascii="Trebuchet MS" w:hAnsi="Trebuchet MS" w:cs="Trebuchet MS"/>
          <w:sz w:val="24"/>
          <w:szCs w:val="24"/>
          <w:lang w:val="en-US"/>
        </w:rPr>
        <w:t>and distinct hurdles. The following are some of the common research challenges and practical ways they can be resolved.</w:t>
      </w:r>
    </w:p>
    <w:p w14:paraId="069B8238">
      <w:pPr>
        <w:jc w:val="both"/>
        <w:rPr>
          <w:rFonts w:hint="default" w:ascii="Trebuchet MS" w:hAnsi="Trebuchet MS" w:cs="Trebuchet MS"/>
          <w:sz w:val="24"/>
          <w:szCs w:val="24"/>
          <w:lang w:val="en-US"/>
        </w:rPr>
      </w:pPr>
    </w:p>
    <w:p w14:paraId="38E626EA">
      <w:pPr>
        <w:numPr>
          <w:ilvl w:val="0"/>
          <w:numId w:val="1"/>
        </w:numPr>
        <w:jc w:val="both"/>
        <w:rPr>
          <w:rFonts w:hint="default" w:ascii="Trebuchet MS" w:hAnsi="Trebuchet MS" w:cs="Trebuchet MS"/>
          <w:b/>
          <w:bCs/>
          <w:sz w:val="24"/>
          <w:szCs w:val="24"/>
          <w:lang w:val="en-US"/>
        </w:rPr>
      </w:pPr>
      <w:r>
        <w:rPr>
          <w:rFonts w:hint="default" w:ascii="Trebuchet MS" w:hAnsi="Trebuchet MS" w:cs="Trebuchet MS"/>
          <w:b/>
          <w:bCs/>
          <w:sz w:val="24"/>
          <w:szCs w:val="24"/>
          <w:lang w:val="en-US"/>
        </w:rPr>
        <w:t>Navigating the powers that be and ethics</w:t>
      </w:r>
    </w:p>
    <w:p w14:paraId="105ED10E">
      <w:pPr>
        <w:numPr>
          <w:numId w:val="0"/>
        </w:numPr>
        <w:jc w:val="both"/>
        <w:rPr>
          <w:rFonts w:hint="default" w:ascii="Trebuchet MS" w:hAnsi="Trebuchet MS" w:cs="Trebuchet MS"/>
          <w:sz w:val="24"/>
          <w:szCs w:val="24"/>
          <w:lang w:val="en-US"/>
        </w:rPr>
      </w:pPr>
      <w:r>
        <w:rPr>
          <w:rFonts w:hint="default" w:ascii="Trebuchet MS" w:hAnsi="Trebuchet MS" w:cs="Trebuchet MS"/>
          <w:sz w:val="24"/>
          <w:szCs w:val="24"/>
          <w:lang w:val="en-US"/>
        </w:rPr>
        <w:t>Obtaining the necessary clearances can take a lot of time. Most studies for research require approval from a Research Ethics Committee or Institutional Review Committee followed by a compulsory registration from a governing body like Uganda National Council for science AND technology. If the research involves political matters one may need clearance from the Office of the President.</w:t>
      </w:r>
    </w:p>
    <w:p w14:paraId="229E2225">
      <w:pPr>
        <w:numPr>
          <w:numId w:val="0"/>
        </w:numPr>
        <w:jc w:val="both"/>
        <w:rPr>
          <w:rFonts w:hint="default" w:ascii="Trebuchet MS" w:hAnsi="Trebuchet MS" w:cs="Trebuchet MS"/>
          <w:sz w:val="24"/>
          <w:szCs w:val="24"/>
          <w:lang w:val="en-US"/>
        </w:rPr>
      </w:pPr>
    </w:p>
    <w:p w14:paraId="6568CF89">
      <w:pPr>
        <w:numPr>
          <w:ilvl w:val="1"/>
          <w:numId w:val="1"/>
        </w:numPr>
        <w:jc w:val="both"/>
        <w:rPr>
          <w:rFonts w:hint="default" w:ascii="Trebuchet MS" w:hAnsi="Trebuchet MS" w:cs="Trebuchet MS"/>
          <w:sz w:val="24"/>
          <w:szCs w:val="24"/>
          <w:lang w:val="en-US"/>
        </w:rPr>
      </w:pPr>
      <w:r>
        <w:rPr>
          <w:rFonts w:hint="default" w:ascii="Trebuchet MS" w:hAnsi="Trebuchet MS" w:cs="Trebuchet MS"/>
          <w:sz w:val="24"/>
          <w:szCs w:val="24"/>
          <w:lang w:val="en-US"/>
        </w:rPr>
        <w:t>The resolution</w:t>
      </w:r>
    </w:p>
    <w:p w14:paraId="7D914171">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Starting the research early is one method in which one should factor in at least three to six months for the paperwork phase.</w:t>
      </w:r>
    </w:p>
    <w:p w14:paraId="5EEF220D">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Another method would be to partner with institutions to bypass or streamline the process of navigating the powers that be for obtaining the clearance that was mentioned.</w:t>
      </w:r>
    </w:p>
    <w:p w14:paraId="5AAE04F3">
      <w:pPr>
        <w:numPr>
          <w:numId w:val="0"/>
        </w:numPr>
        <w:ind w:leftChars="0"/>
        <w:jc w:val="both"/>
        <w:rPr>
          <w:rFonts w:hint="default" w:ascii="Trebuchet MS" w:hAnsi="Trebuchet MS" w:cs="Trebuchet MS"/>
          <w:sz w:val="24"/>
          <w:szCs w:val="24"/>
          <w:lang w:val="en-US"/>
        </w:rPr>
      </w:pPr>
    </w:p>
    <w:p w14:paraId="0537619A">
      <w:pPr>
        <w:numPr>
          <w:ilvl w:val="0"/>
          <w:numId w:val="1"/>
        </w:numPr>
        <w:ind w:left="0" w:leftChars="0" w:firstLine="0" w:firstLineChars="0"/>
        <w:jc w:val="both"/>
        <w:rPr>
          <w:rFonts w:hint="default" w:ascii="Trebuchet MS" w:hAnsi="Trebuchet MS" w:cs="Trebuchet MS"/>
          <w:b/>
          <w:bCs/>
          <w:sz w:val="24"/>
          <w:szCs w:val="24"/>
          <w:lang w:val="en-US"/>
        </w:rPr>
      </w:pPr>
      <w:r>
        <w:rPr>
          <w:rFonts w:hint="default" w:ascii="Trebuchet MS" w:hAnsi="Trebuchet MS" w:cs="Trebuchet MS"/>
          <w:b/>
          <w:bCs/>
          <w:sz w:val="24"/>
          <w:szCs w:val="24"/>
          <w:lang w:val="en-US"/>
        </w:rPr>
        <w:t>Funding and high operational costs</w:t>
      </w:r>
    </w:p>
    <w:p w14:paraId="5092B50F">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Research is often dependent on external grants from different organizations and donations from investors or backers. Sometimes the funding from these different sources may not  be sufficient leading to cutting corners in the research meaning the results may not be as accurate as required. This may sometimes lead to implementation of the wrong solution in the area that is being researched.</w:t>
      </w:r>
    </w:p>
    <w:p w14:paraId="3FA72AEF">
      <w:pPr>
        <w:numPr>
          <w:numId w:val="0"/>
        </w:numPr>
        <w:ind w:leftChars="0"/>
        <w:jc w:val="both"/>
        <w:rPr>
          <w:rFonts w:hint="default" w:ascii="Trebuchet MS" w:hAnsi="Trebuchet MS" w:cs="Trebuchet MS"/>
          <w:sz w:val="24"/>
          <w:szCs w:val="24"/>
          <w:lang w:val="en-US"/>
        </w:rPr>
      </w:pPr>
    </w:p>
    <w:p w14:paraId="6D371403">
      <w:pPr>
        <w:numPr>
          <w:ilvl w:val="1"/>
          <w:numId w:val="1"/>
        </w:numPr>
        <w:ind w:left="0" w:leftChars="0" w:firstLine="0" w:firstLineChars="0"/>
        <w:jc w:val="both"/>
        <w:rPr>
          <w:rFonts w:hint="default" w:ascii="Trebuchet MS" w:hAnsi="Trebuchet MS" w:cs="Trebuchet MS"/>
          <w:sz w:val="24"/>
          <w:szCs w:val="24"/>
          <w:lang w:val="en-US"/>
        </w:rPr>
      </w:pPr>
      <w:r>
        <w:rPr>
          <w:rFonts w:hint="default" w:ascii="Trebuchet MS" w:hAnsi="Trebuchet MS" w:cs="Trebuchet MS"/>
          <w:sz w:val="24"/>
          <w:szCs w:val="24"/>
          <w:lang w:val="en-US"/>
        </w:rPr>
        <w:t>The resolution</w:t>
      </w:r>
    </w:p>
    <w:p w14:paraId="5206ABF1">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One should look into local grants for research that are given by the national government to cover the areas of research that require more funding.</w:t>
      </w:r>
    </w:p>
    <w:p w14:paraId="3184CCF4">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Another method would be collaborative budgeting in which research teams can share logistical costs for things like transport and field tools with other research teams working in the same region.</w:t>
      </w:r>
    </w:p>
    <w:p w14:paraId="3943B193">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The third method would be use of mobile digital data collection tools to eliminate the costs of paper, printing and manual data entry.</w:t>
      </w:r>
    </w:p>
    <w:p w14:paraId="71C78990">
      <w:pPr>
        <w:numPr>
          <w:numId w:val="0"/>
        </w:numPr>
        <w:ind w:leftChars="0"/>
        <w:jc w:val="both"/>
        <w:rPr>
          <w:rFonts w:hint="default" w:ascii="Trebuchet MS" w:hAnsi="Trebuchet MS" w:cs="Trebuchet MS"/>
          <w:sz w:val="24"/>
          <w:szCs w:val="24"/>
          <w:lang w:val="en-US"/>
        </w:rPr>
      </w:pPr>
    </w:p>
    <w:p w14:paraId="5C35359B">
      <w:pPr>
        <w:numPr>
          <w:ilvl w:val="0"/>
          <w:numId w:val="1"/>
        </w:numPr>
        <w:ind w:left="0" w:leftChars="0" w:firstLine="0" w:firstLineChars="0"/>
        <w:jc w:val="both"/>
        <w:rPr>
          <w:rFonts w:hint="default" w:ascii="Trebuchet MS" w:hAnsi="Trebuchet MS" w:cs="Trebuchet MS"/>
          <w:b/>
          <w:bCs/>
          <w:sz w:val="24"/>
          <w:szCs w:val="24"/>
          <w:lang w:val="en-US"/>
        </w:rPr>
      </w:pPr>
      <w:r>
        <w:rPr>
          <w:rFonts w:hint="default" w:ascii="Trebuchet MS" w:hAnsi="Trebuchet MS" w:cs="Trebuchet MS"/>
          <w:b/>
          <w:bCs/>
          <w:sz w:val="24"/>
          <w:szCs w:val="24"/>
          <w:lang w:val="en-US"/>
        </w:rPr>
        <w:t>Geographical and Infrastructural barriers</w:t>
      </w:r>
    </w:p>
    <w:p w14:paraId="6199D507">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Getting to communities in far-off remote regions often involves use of poor bordering on non-existent road networks especially during rainy seasons. Limited electricity and internet in rural areas can make data synchronization slow and difficult.</w:t>
      </w:r>
    </w:p>
    <w:p w14:paraId="17951480">
      <w:pPr>
        <w:numPr>
          <w:numId w:val="0"/>
        </w:numPr>
        <w:ind w:leftChars="0"/>
        <w:jc w:val="both"/>
        <w:rPr>
          <w:rFonts w:hint="default" w:ascii="Trebuchet MS" w:hAnsi="Trebuchet MS" w:cs="Trebuchet MS"/>
          <w:sz w:val="24"/>
          <w:szCs w:val="24"/>
          <w:lang w:val="en-US"/>
        </w:rPr>
      </w:pPr>
    </w:p>
    <w:p w14:paraId="3F5A889E">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3.1 The resolution</w:t>
      </w:r>
    </w:p>
    <w:p w14:paraId="7CAB53CA">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One method would be to use of apps and devices that support offline storage.</w:t>
      </w:r>
    </w:p>
    <w:p w14:paraId="2A364907">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Planning  heavy fieldwork to be done as early as possible so that it’s a hurdle that is dealt with quickly is another method.</w:t>
      </w:r>
    </w:p>
    <w:p w14:paraId="2CF888FC">
      <w:pPr>
        <w:numPr>
          <w:numId w:val="0"/>
        </w:numPr>
        <w:ind w:leftChars="0"/>
        <w:jc w:val="both"/>
        <w:rPr>
          <w:rFonts w:hint="default" w:ascii="Trebuchet MS" w:hAnsi="Trebuchet MS" w:cs="Trebuchet MS"/>
          <w:sz w:val="24"/>
          <w:szCs w:val="24"/>
          <w:lang w:val="en-US"/>
        </w:rPr>
      </w:pPr>
    </w:p>
    <w:p w14:paraId="0ADDED9A">
      <w:pPr>
        <w:numPr>
          <w:ilvl w:val="0"/>
          <w:numId w:val="1"/>
        </w:numPr>
        <w:ind w:left="0" w:leftChars="0" w:firstLine="0" w:firstLineChars="0"/>
        <w:jc w:val="both"/>
        <w:rPr>
          <w:rFonts w:hint="default" w:ascii="Trebuchet MS" w:hAnsi="Trebuchet MS" w:cs="Trebuchet MS"/>
          <w:b/>
          <w:bCs/>
          <w:sz w:val="24"/>
          <w:szCs w:val="24"/>
          <w:lang w:val="en-US"/>
        </w:rPr>
      </w:pPr>
      <w:r>
        <w:rPr>
          <w:rFonts w:hint="default" w:ascii="Trebuchet MS" w:hAnsi="Trebuchet MS" w:cs="Trebuchet MS"/>
          <w:b/>
          <w:bCs/>
          <w:sz w:val="24"/>
          <w:szCs w:val="24"/>
          <w:lang w:val="en-US"/>
        </w:rPr>
        <w:t>Participant expectations and Research Fatigue</w:t>
      </w:r>
    </w:p>
    <w:p w14:paraId="7FB9F16F">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In areas which are heavily researched or those where a research project is carried out for so long, communities may experience research fatigue in which individuals may get tired of the invasions of privacy the questioning which sometimes borders on interrogation. Participants may also expect immediate tangible benefits like financial compensation for being “poked and prodded” and the interruption of their daily lives.</w:t>
      </w:r>
    </w:p>
    <w:p w14:paraId="4BB29A21">
      <w:pPr>
        <w:numPr>
          <w:numId w:val="0"/>
        </w:numPr>
        <w:ind w:leftChars="0"/>
        <w:jc w:val="both"/>
        <w:rPr>
          <w:rFonts w:hint="default" w:ascii="Trebuchet MS" w:hAnsi="Trebuchet MS" w:cs="Trebuchet MS"/>
          <w:sz w:val="24"/>
          <w:szCs w:val="24"/>
          <w:lang w:val="en-US"/>
        </w:rPr>
      </w:pPr>
    </w:p>
    <w:p w14:paraId="5364C4B7">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4.1 The resolution</w:t>
      </w:r>
    </w:p>
    <w:p w14:paraId="1EA5AAEF">
      <w:pPr>
        <w:numPr>
          <w:ilvl w:val="0"/>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The community should be explained to what research is being carried out and what benefits are their to gain to help individuals understand what they are signing up for.</w:t>
      </w:r>
    </w:p>
    <w:p w14:paraId="6A11F03F">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The compensation must be standardized and should be given when it is promised to soothe the participants or the research project.</w:t>
      </w:r>
    </w:p>
    <w:p w14:paraId="4B82846D">
      <w:pPr>
        <w:numPr>
          <w:numId w:val="0"/>
        </w:numPr>
        <w:ind w:leftChars="0"/>
        <w:jc w:val="both"/>
        <w:rPr>
          <w:rFonts w:hint="default" w:ascii="Trebuchet MS" w:hAnsi="Trebuchet MS" w:cs="Trebuchet MS"/>
          <w:b/>
          <w:bCs/>
          <w:sz w:val="24"/>
          <w:szCs w:val="24"/>
          <w:lang w:val="en-US"/>
        </w:rPr>
      </w:pPr>
    </w:p>
    <w:p w14:paraId="1A63FAA1">
      <w:pPr>
        <w:numPr>
          <w:ilvl w:val="0"/>
          <w:numId w:val="1"/>
        </w:numPr>
        <w:ind w:left="0" w:leftChars="0" w:firstLine="0" w:firstLineChars="0"/>
        <w:jc w:val="both"/>
        <w:rPr>
          <w:rFonts w:hint="default" w:ascii="Trebuchet MS" w:hAnsi="Trebuchet MS" w:cs="Trebuchet MS"/>
          <w:b/>
          <w:bCs/>
          <w:sz w:val="24"/>
          <w:szCs w:val="24"/>
          <w:lang w:val="en-US"/>
        </w:rPr>
      </w:pPr>
      <w:r>
        <w:rPr>
          <w:rFonts w:hint="default" w:ascii="Trebuchet MS" w:hAnsi="Trebuchet MS" w:cs="Trebuchet MS"/>
          <w:b/>
          <w:bCs/>
          <w:sz w:val="24"/>
          <w:szCs w:val="24"/>
          <w:lang w:val="en-US"/>
        </w:rPr>
        <w:t>Language and Cultural Nuances</w:t>
      </w:r>
    </w:p>
    <w:p w14:paraId="22C606A1">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Relying solely on the language that is comfortable for the research team may lead to lost in translation errors and this would be especially bad in fields like health and education and even cultural topics.</w:t>
      </w:r>
    </w:p>
    <w:p w14:paraId="50A1F3D5">
      <w:pPr>
        <w:numPr>
          <w:numId w:val="0"/>
        </w:numPr>
        <w:ind w:leftChars="0"/>
        <w:jc w:val="both"/>
        <w:rPr>
          <w:rFonts w:hint="default" w:ascii="Trebuchet MS" w:hAnsi="Trebuchet MS" w:cs="Trebuchet MS"/>
          <w:sz w:val="24"/>
          <w:szCs w:val="24"/>
          <w:lang w:val="en-US"/>
        </w:rPr>
      </w:pPr>
    </w:p>
    <w:p w14:paraId="437C7168">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5.1 The resolution</w:t>
      </w:r>
    </w:p>
    <w:p w14:paraId="21A0ACA0">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Ensure all survey tools are translated into the local language of the given area and then translated back to the language comfortable for the research team by a party knowledgeable in both languages to verify accuracy.</w:t>
      </w:r>
    </w:p>
    <w:p w14:paraId="099572F9">
      <w:pPr>
        <w:numPr>
          <w:numId w:val="0"/>
        </w:numPr>
        <w:ind w:leftChars="0"/>
        <w:jc w:val="both"/>
        <w:rPr>
          <w:rFonts w:hint="default" w:ascii="Trebuchet MS" w:hAnsi="Trebuchet MS" w:cs="Trebuchet MS"/>
          <w:sz w:val="24"/>
          <w:szCs w:val="24"/>
          <w:lang w:val="en-US"/>
        </w:rPr>
      </w:pPr>
      <w:r>
        <w:rPr>
          <w:rFonts w:hint="default" w:ascii="Trebuchet MS" w:hAnsi="Trebuchet MS" w:cs="Trebuchet MS"/>
          <w:sz w:val="24"/>
          <w:szCs w:val="24"/>
          <w:lang w:val="en-US"/>
        </w:rPr>
        <w:t>Another method would be to hire graduates from  the specific region who understand the cultural norms and social etiquette from said region.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rebuchet MS">
    <w:panose1 w:val="020B0603020202020204"/>
    <w:charset w:val="00"/>
    <w:family w:val="auto"/>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EF3C30"/>
    <w:multiLevelType w:val="multilevel"/>
    <w:tmpl w:val="66EF3C3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185AF8"/>
    <w:rsid w:val="114E2D76"/>
    <w:rsid w:val="394066B8"/>
    <w:rsid w:val="47932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2026-01-30T12:20:08Z</dcterms:created>
  <dc:creator>user 1</dc:creator>
  <cp:lastModifiedBy>user 1</cp:lastModifiedBy>
  <dcterms:modified xsi:type="dcterms:W3CDTF">2026-01-30T13:22:58Z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9460E567E5E748D281FB5E9A604E470B_12</vt:lpwstr>
  </property>
</Properties>
</file>