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iikoNet.Service.Api.Front.v2.Client.Host.exe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  <w:t xml:space="preserve"> для вызова методов iikoNet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6"/>
      <w:bookmarkEnd w:id="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iikoNet.Service.Api.Front.v2.Client.Host.exe.config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&lt;iikoNet.Service.Api.Front.v2.Client.Host.Properties.Settings&gt;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&lt;value&gt;iiko.net&lt;/value&gt;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&lt;value&gt;ru-RU&lt;/value&gt;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&lt;value&gt;35&lt;/value&gt;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&lt;/iikoNet.Service.Api.Front.v2.Client.Host.Properties.Settings&gt;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4n459bu1i9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an88k4xkj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b9uhwrocef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1"/>
      <w:bookmarkEnd w:id="11"/>
      <w:r w:rsidDel="00000000" w:rsidR="00000000" w:rsidRPr="00000000">
        <w:rPr>
          <w:rtl w:val="0"/>
        </w:rPr>
        <w:t xml:space="preserve">Pay</w:t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9aluhyrb0z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9julkh21xp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tchsdifvh54" w:id="14"/>
      <w:bookmarkEnd w:id="14"/>
      <w:r w:rsidDel="00000000" w:rsidR="00000000" w:rsidRPr="00000000">
        <w:rPr>
          <w:rtl w:val="0"/>
        </w:rPr>
        <w:t xml:space="preserve">CancelPay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9075"/>
        <w:tblGridChange w:id="0">
          <w:tblGrid>
            <w:gridCol w:w="1725"/>
            <w:gridCol w:w="9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CancelPay(Guid orderId, Guid transactionId)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/cancelPay?orderId={orderId}&amp;transactionId={transactionId}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http://msk-dborisov.resto.lan:7777/iikonet/api/front/cancelPay?orderId=7a3fd290-430f-4ad2-8298-1fc54d73f19d&amp;transactionId=a017d1f9-d8dc-466e-9c79-3f53f474a750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13:16:54 GMT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tsdnnb45j8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omty66line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7"/>
      <w:bookmarkEnd w:id="17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http://msk-dborisov.resto.lan:7777/iikonet/api/front/refund?orderId=4cba8738-83bb-4142-8ee6-b0901caa83f2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"refunds"</w:t>
            </w:r>
            <w:r w:rsidDel="00000000" w:rsidR="00000000" w:rsidRPr="00000000">
              <w:rPr>
                <w:sz w:val="18"/>
                <w:rtl w:val="0"/>
              </w:rPr>
              <w:t xml:space="preserve">:[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"sum"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"walletCode"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"cancelledItems"</w:t>
            </w:r>
            <w:r w:rsidDel="00000000" w:rsidR="00000000" w:rsidRPr="00000000">
              <w:rPr>
                <w:sz w:val="18"/>
                <w:rtl w:val="0"/>
              </w:rPr>
              <w:t xml:space="preserve">:[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"productCode"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"chequeFooter"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"Подвал чека"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7u3m1xxff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sz8wgf4ue3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20"/>
      <w:bookmarkEnd w:id="20"/>
      <w:r w:rsidDel="00000000" w:rsidR="00000000" w:rsidRPr="00000000">
        <w:rPr>
          <w:rtl w:val="0"/>
        </w:rPr>
        <w:t xml:space="preserve">Close</w:t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http://msk-vyushkov.resto.lan:7777/iikonet/api/front/close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681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"sumForBonus":86.5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21"/>
      <w:bookmarkEnd w:id="21"/>
      <w:r w:rsidDel="00000000" w:rsidR="00000000" w:rsidRPr="00000000">
        <w:rPr>
          <w:rtl w:val="0"/>
        </w:rPr>
        <w:t xml:space="preserve">UpdateOrder</w:t>
      </w:r>
    </w:p>
    <w:tbl>
      <w:tblPr>
        <w:tblStyle w:val="Table8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