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>
          <w:rtl w:val="0"/>
        </w:rPr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Platius</w:t>
      </w:r>
      <w:r w:rsidDel="00000000" w:rsidR="00000000" w:rsidRPr="00000000">
        <w:rPr>
          <w:b w:val="1"/>
          <w:rtl w:val="0"/>
        </w:rPr>
        <w:t xml:space="preserve">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  <w:t xml:space="preserve"> для вызова методов Platius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install.bat).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61s8bkj3h7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5"/>
      <w:bookmarkEnd w:id="5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dbu7eklx77i" w:id="6"/>
      <w:bookmarkEnd w:id="6"/>
      <w:r w:rsidDel="00000000" w:rsidR="00000000" w:rsidRPr="00000000">
        <w:rPr>
          <w:rtl w:val="0"/>
        </w:rPr>
        <w:t xml:space="preserve">Заголовки HTTP-запросов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выполнении вызовов необходимо в заголовках HTTP-запросов дополнительно передавать следующие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Accept-Language </w:t>
      </w:r>
      <w:r w:rsidDel="00000000" w:rsidR="00000000" w:rsidRPr="00000000">
        <w:rPr>
          <w:rtl w:val="0"/>
        </w:rPr>
        <w:t xml:space="preserve">- код локали, согласно RFC 3066.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- название программного продукта, использующего POS API.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Product-Version</w:t>
      </w:r>
      <w:r w:rsidDel="00000000" w:rsidR="00000000" w:rsidRPr="00000000">
        <w:rPr>
          <w:rtl w:val="0"/>
        </w:rPr>
        <w:t xml:space="preserve"> - версия кассового ПО.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Tape-Width</w:t>
      </w:r>
      <w:r w:rsidDel="00000000" w:rsidR="00000000" w:rsidRPr="00000000">
        <w:rPr>
          <w:rtl w:val="0"/>
        </w:rPr>
        <w:t xml:space="preserve"> - ширина кассовой ленты в символах.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Terminal-Id</w:t>
      </w:r>
      <w:r w:rsidDel="00000000" w:rsidR="00000000" w:rsidRPr="00000000">
        <w:rPr>
          <w:rtl w:val="0"/>
        </w:rPr>
        <w:t xml:space="preserve"> - строковый идентификатор кассового терминала.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- разработчик кассового ПО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значения параметров должны быть заданы в заголовке каждого запроса и состоять из символов с кодами 32...127. Ограничение на длину значения - 255 символов.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заголовков: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Product: OmegaCash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1.0.0.2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3bf65135-264e-447f-9f1a-0c013f31c7df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Vendor: Omega Software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7"/>
      <w:bookmarkEnd w:id="7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Platius.Service.Api.Front.v2.Client.Host.exe.config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</w:t>
            </w:r>
            <w:r w:rsidDel="00000000" w:rsidR="00000000" w:rsidRPr="00000000">
              <w:rPr>
                <w:rtl w:val="0"/>
              </w:rPr>
              <w:t xml:space="preserve">http:\\www4.platius.ru:9010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u40n2limxa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9"/>
      <w:bookmarkEnd w:id="9"/>
      <w:r w:rsidDel="00000000" w:rsidR="00000000" w:rsidRPr="00000000">
        <w:rPr>
          <w:rtl w:val="0"/>
        </w:rPr>
        <w:t xml:space="preserve">Checkin</w:t>
      </w:r>
    </w:p>
    <w:tbl>
      <w:tblPr>
        <w:tblStyle w:val="Table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http://msk-dborisov.resto.lan:7777/platius/api/front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msk-dborisov.resto.lan:7777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</w:t>
            </w:r>
            <w:r w:rsidDel="00000000" w:rsidR="00000000" w:rsidRPr="00000000">
              <w:rPr>
                <w:rtl w:val="0"/>
              </w:rPr>
              <w:t xml:space="preserve">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platius.ru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10"/>
      <w:bookmarkEnd w:id="10"/>
      <w:r w:rsidDel="00000000" w:rsidR="00000000" w:rsidRPr="00000000">
        <w:rPr>
          <w:rtl w:val="0"/>
        </w:rPr>
        <w:t xml:space="preserve">Pay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http://msk-dborisov.resto.lan:7777/platius/api/front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msk-dborisov.resto.lan:7777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11"/>
      <w:bookmarkEnd w:id="11"/>
      <w:r w:rsidDel="00000000" w:rsidR="00000000" w:rsidRPr="00000000">
        <w:rPr>
          <w:rtl w:val="0"/>
        </w:rPr>
        <w:t xml:space="preserve">Refund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http://msk-dborisov.resto.lan:7777/platius/api/front/refund?orderId=4cba8738-83bb-4142-8ee6-b0901caa83f2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"refunds":[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"sum":1.5,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"cancelledItems":[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12"/>
      <w:bookmarkEnd w:id="12"/>
      <w:r w:rsidDel="00000000" w:rsidR="00000000" w:rsidRPr="00000000">
        <w:rPr>
          <w:rtl w:val="0"/>
        </w:rPr>
        <w:t xml:space="preserve">Close</w:t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CloseResult Close(Order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/close?orderId={orderId}&amp;sumForBonus={sumForBonus}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http://msk-dborisov.resto.lan:7777/platius/api/front/close?orderId=04b5816e-8ecb-4eea-a443-7096879f1135&amp;sumForBonus=25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hp5a5mg63v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xt34a5kq29" w:id="14"/>
      <w:bookmarkEnd w:id="14"/>
      <w:r w:rsidDel="00000000" w:rsidR="00000000" w:rsidRPr="00000000">
        <w:rPr>
          <w:rtl w:val="0"/>
        </w:rPr>
        <w:t xml:space="preserve">Abort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void Abort(Guid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/abort?orderId={orderId}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http://msk-dborisov.resto.lan:7777/platius/api/front/abort?orderId=677d4849-0e6f-438b-b950-e2e6c7f680c0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r2c8zf2iw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sdm1q96hme" w:id="16"/>
      <w:bookmarkEnd w:id="16"/>
      <w:r w:rsidDel="00000000" w:rsidR="00000000" w:rsidRPr="00000000">
        <w:rPr>
          <w:rtl w:val="0"/>
        </w:rPr>
        <w:t xml:space="preserve">Reset</w:t>
      </w:r>
    </w:p>
    <w:tbl>
      <w:tblPr>
        <w:tblStyle w:val="Table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Reset(Guid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/reset?orderId={orderId}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http://msk-dborisov.resto.lan:7777/platius/api/front/reset?orderId=677d4849-0e6f-438b-b950-e2e6c7f680c0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8j9rb3ss7t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18"/>
      <w:bookmarkEnd w:id="18"/>
      <w:r w:rsidDel="00000000" w:rsidR="00000000" w:rsidRPr="00000000">
        <w:rPr>
          <w:rtl w:val="0"/>
        </w:rPr>
        <w:t xml:space="preserve">UpdateOrder</w:t>
      </w:r>
    </w:p>
    <w:tbl>
      <w:tblPr>
        <w:tblStyle w:val="Table1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http://msk-dborisov.resto.lan:7777/platius/api/front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msk-dborisov.resto.lan:7777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s6za001aonx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6fxa24rdswmc" w:id="20"/>
      <w:bookmarkEnd w:id="20"/>
      <w:r w:rsidDel="00000000" w:rsidR="00000000" w:rsidRPr="00000000">
        <w:rPr>
          <w:rtl w:val="0"/>
        </w:rPr>
        <w:t xml:space="preserve">Precheque</w:t>
      </w:r>
    </w:p>
    <w:tbl>
      <w:tblPr>
        <w:tblStyle w:val="Table1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/precheque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http://msk-dborisov.resto.lan:7777/platius/api/front/precheque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0pejcdlpw4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avhkwvp6mza" w:id="22"/>
      <w:bookmarkEnd w:id="22"/>
      <w:r w:rsidDel="00000000" w:rsidR="00000000" w:rsidRPr="00000000">
        <w:rPr>
          <w:rtl w:val="0"/>
        </w:rPr>
        <w:t xml:space="preserve">GetNotifications</w:t>
      </w:r>
    </w:p>
    <w:tbl>
      <w:tblPr>
        <w:tblStyle w:val="Table1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Notification[]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/notifications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http://msk-dborisov.resto.lan:7777/platius/api/front/notifications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"orderIds": []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1109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29 Apr 2015 12:50:42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"sum":88.61,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"sum":411.39,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"createdOn":"\/Date(1430310010000+0300)\/",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"id":"56fc5af9-e33a-42af-9529-e5ee00785ffc",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"sum":100.0,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"createdOn":"\/Date(1430311828000+0300)\/",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"id":"9d21453f-c677-44ab-a16d-9682431fc8ea",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msdn.microsoft.com/en-us/library/shx7s921(v=vs.110).aspx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msdn.microsoft.com/en-us/library/system.datetime(v=vs.110).aspx" TargetMode="External"/><Relationship Id="rId9" Type="http://schemas.openxmlformats.org/officeDocument/2006/relationships/hyperlink" Target="http://msdn.microsoft.com/en-us/library/shx7s921(v=vs.110).aspx" TargetMode="External"/><Relationship Id="rId6" Type="http://schemas.openxmlformats.org/officeDocument/2006/relationships/hyperlink" Target="https://docs.google.com/document/d/11UsjfS34D7oOTuLgYzkdEJMjuyOlmnEdA9qq5ahoseU/edit" TargetMode="External"/><Relationship Id="rId5" Type="http://schemas.openxmlformats.org/officeDocument/2006/relationships/hyperlink" Target="https://docs.google.com/document/d/11UsjfS34D7oOTuLgYzkdEJMjuyOlmnEdA9qq5ahoseU/edit" TargetMode="External"/><Relationship Id="rId8" Type="http://schemas.openxmlformats.org/officeDocument/2006/relationships/hyperlink" Target="http://msdn.microsoft.com/en-us/library/system.datetime(v=vs.110).aspx" TargetMode="External"/><Relationship Id="rId7" Type="http://schemas.openxmlformats.org/officeDocument/2006/relationships/hyperlink" Target="http://msdn.microsoft.com/en-us/library/bb412170(v=vs.110).aspx" TargetMode="External"/></Relationships>
</file>