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6"/>
      <w:bookmarkEnd w:id="6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7"/>
      <w:bookmarkEnd w:id="7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0"/>
      <w:bookmarkEnd w:id="10"/>
      <w:r w:rsidDel="00000000" w:rsidR="00000000" w:rsidRPr="00000000">
        <w:rPr>
          <w:rtl w:val="0"/>
        </w:rPr>
        <w:t xml:space="preserve">Pay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1"/>
      <w:bookmarkEnd w:id="11"/>
      <w:r w:rsidDel="00000000" w:rsidR="00000000" w:rsidRPr="00000000">
        <w:rPr>
          <w:rtl w:val="0"/>
        </w:rPr>
        <w:t xml:space="preserve">Refund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2"/>
      <w:bookmarkEnd w:id="12"/>
      <w:r w:rsidDel="00000000" w:rsidR="00000000" w:rsidRPr="00000000">
        <w:rPr>
          <w:rtl w:val="0"/>
        </w:rPr>
        <w:t xml:space="preserve">Close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/close?orderId={orderId}&amp;sumForBonus={sumForBonus}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http://msk-dborisov.resto.lan:7777/platius/api/front/close?orderId=04b5816e-8ecb-4eea-a443-7096879f1135&amp;sumForBonus=25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4"/>
      <w:bookmarkEnd w:id="14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6"/>
      <w:bookmarkEnd w:id="16"/>
      <w:r w:rsidDel="00000000" w:rsidR="00000000" w:rsidRPr="00000000">
        <w:rPr>
          <w:rtl w:val="0"/>
        </w:rPr>
        <w:t xml:space="preserve">Reset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>
          <w:rtl w:val="0"/>
        </w:rPr>
        <w:t xml:space="preserve">UpdateOrder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s6za001aonx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20"/>
      <w:bookmarkEnd w:id="20"/>
      <w:r w:rsidDel="00000000" w:rsidR="00000000" w:rsidRPr="00000000">
        <w:rPr>
          <w:rtl w:val="0"/>
        </w:rPr>
        <w:t xml:space="preserve">Precheque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avhkwvp6mza" w:id="22"/>
      <w:bookmarkEnd w:id="22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