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Новые приложения - 5,6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precheque.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 CanBePaidByBonuses.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Удалены Order-CloseTime &amp; Order-PrechequeTime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Юшков В.И.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GetNotifications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Обновлено приложение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0hz6p9c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b1598xck7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сценариев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8q47ovj845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сценарий 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y5vpo111q7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public interface IWorkflow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j4do76a8z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bool IsOnline { get;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mn82gto3pw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ph22va0a2i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Checkin(string credential, UserSearchScope searchScope, 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sgev4q7kl9e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ojzh6oskmw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Pay(Guid orderId, WalletPayment[] payments, AppliedDiscount[] discounts);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2yvr95z8s4h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ks8eql6ytm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RefundResult Refund(Guid orderId, Guid transactionId, WalletRefund[] refunds, CancelledOrderItem[] cancelledItems);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jsnzycknnmk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ps9y9d1sil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ICloseResult CloseOrder(Order order, decimal SumForBonus);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gmoxjr63w4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ok17tui1id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Abort(Guid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6jw4be7flt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ynnx73ln9z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Reset(Guid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zuxlky82g6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r87p21hmfq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Notification[] GetNotifications(Guid[] orderIds)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7hq23sgnbg4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9y2v4t43m73w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UpdateOrder(Order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u4ax1d19km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mq1bunii8c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Precheque(Order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nltb3g6elgj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6xhiv8h7qu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k741x89ux2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6vc2xphaqv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yx12yfxqk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8f32x0dw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4: Возможные исключения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6vhe88j3e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5wn0kc8r68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оплата не прошла и гость платит наличными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fzcaem8elf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ошибка на фискальном регистраторе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e173g602o6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6. Задание лимитов скидок и оплат бонусами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ivb7rh3ysw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Проблема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pf8l37m583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rge6fe344i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Platius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осуществляется по защищенному протоколу https (порт 443).</w:t>
      </w:r>
      <w:r w:rsidDel="00000000" w:rsidR="00000000" w:rsidRPr="00000000">
        <w:rPr>
          <w:rtl w:val="0"/>
        </w:rPr>
        <w:t xml:space="preserve"> Адрес главного сервера: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https://api.platius.ru/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тестовом режиме используется http-подключение без шифрования. Адрес тестового сервера: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http://www4.platius.ru:9010/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szCs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4" name="image07.png"/>
            <a:graphic>
              <a:graphicData uri="http://schemas.openxmlformats.org/drawingml/2006/picture">
                <pic:pic>
                  <pic:nvPicPr>
                    <pic:cNvPr descr="Client State Machine.png"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Fiiacade.Create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100m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MaxBonusPayment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IsFullAmountLimit = true, // указываем, что лимит касается всего товара целиком (а не в пересчете на единицу товара)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api.CloseOrder(order,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MaxBonusPayment = 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IsFullAmountLimit = true, // указываем, что лимит касается всего товара целиком (а не в пересчете на единицу товара)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checkinResult = api.Precheque(order,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api.CloseOrder(order,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//Предусловие: На кассе существует Закрытый заказ (был вызван метод API CloseOrder).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item1.SumAfterDiscount + item2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flow.CloseOrder(order,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bookmarkStart w:colFirst="0" w:colLast="0" w:name="h.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Platius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lps9y9d1silz" w:id="26"/>
      <w:bookmarkEnd w:id="26"/>
      <w:r w:rsidDel="00000000" w:rsidR="00000000" w:rsidRPr="00000000">
        <w:rPr>
          <w:rtl w:val="0"/>
        </w:rPr>
        <w:t xml:space="preserve">ICloseResult CloseOrder(Order order,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="276" w:lineRule="auto"/>
        <w:ind w:left="720" w:firstLine="0"/>
        <w:contextualSpacing w:val="0"/>
      </w:pPr>
      <w:bookmarkStart w:colFirst="0" w:colLast="0" w:name="h.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CloseOrder()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CloseOrder()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gr87p21hmfqb" w:id="32"/>
      <w:bookmarkEnd w:id="32"/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[] GetNotifications(Guid[]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Получить нотификации для кассы. Например, получить оплаты, совершенные на стороне platius (через сайт или мобильное приложение).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1) Если orderIds == null или пуст - возвращает нотификации по всем незакрытым заказам,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Подробнее о нотификациях - в </w:t>
      </w:r>
      <w:hyperlink w:anchor="h.ktyx12yfxqka">
        <w:r w:rsidDel="00000000" w:rsidR="00000000" w:rsidRPr="00000000">
          <w:rPr>
            <w:color w:val="1155cc"/>
            <w:u w:val="single"/>
            <w:rtl w:val="0"/>
          </w:rPr>
          <w:t xml:space="preserve">Приложении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lmq1bunii8cc" w:id="36"/>
      <w:bookmarkEnd w:id="36"/>
      <w:commentRangeStart w:id="16"/>
      <w:commentRangeStart w:id="17"/>
      <w:r w:rsidDel="00000000" w:rsidR="00000000" w:rsidRPr="00000000">
        <w:rPr>
          <w:rtl w:val="0"/>
        </w:rPr>
        <w:t xml:space="preserve">ICheckinResult Precheque(Order order, ProductLimit[] limits);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nltb3g6elgjj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Фиксирует факт пречека на кассе.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ind w:left="720" w:firstLine="0"/>
        <w:contextualSpacing w:val="0"/>
      </w:pPr>
      <w:bookmarkStart w:colFirst="0" w:colLast="0" w:name="h.mmuegim6kz8o" w:id="38"/>
      <w:bookmarkEnd w:id="38"/>
      <w:r w:rsidDel="00000000" w:rsidR="00000000" w:rsidRPr="00000000">
        <w:rPr>
          <w:rtl w:val="0"/>
        </w:rPr>
        <w:t xml:space="preserve">void BindCardToPhone(string cardTrackOrNumber, string phoneNumber)</w:t>
      </w:r>
    </w:p>
    <w:p w:rsidR="00000000" w:rsidDel="00000000" w:rsidP="00000000" w:rsidRDefault="00000000" w:rsidRPr="00000000">
      <w:pPr>
        <w:pStyle w:val="Heading6"/>
        <w:ind w:firstLine="720"/>
        <w:contextualSpacing w:val="0"/>
      </w:pPr>
      <w:bookmarkStart w:colFirst="0" w:colLast="0" w:name="h.5r9b9iiku9bq" w:id="39"/>
      <w:bookmarkEnd w:id="3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Привязать карту к телефону.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Получает существующего гостя по номеру телефона или создает нового.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Создает запрос на привязку карты к гостю.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На указанный телефон отправляется SMS с кодом подтверждения привязки.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ind w:left="720" w:firstLine="0"/>
        <w:contextualSpacing w:val="0"/>
      </w:pPr>
      <w:bookmarkStart w:colFirst="0" w:colLast="0" w:name="h.6teh2vvr8z3b" w:id="40"/>
      <w:bookmarkEnd w:id="40"/>
      <w:r w:rsidDel="00000000" w:rsidR="00000000" w:rsidRPr="00000000">
        <w:rPr>
          <w:rtl w:val="0"/>
        </w:rPr>
        <w:t xml:space="preserve">void ActivateUserBinding(string activationCode)</w:t>
      </w:r>
    </w:p>
    <w:p w:rsidR="00000000" w:rsidDel="00000000" w:rsidP="00000000" w:rsidRDefault="00000000" w:rsidRPr="00000000">
      <w:pPr>
        <w:pStyle w:val="Heading6"/>
        <w:ind w:firstLine="720"/>
        <w:contextualSpacing w:val="0"/>
      </w:pPr>
      <w:bookmarkStart w:colFirst="0" w:colLast="0" w:name="h.37dweuhppbcb" w:id="41"/>
      <w:bookmarkEnd w:id="4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Подтвердить привязку карты к телефону.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находит запрос на привязку карты к номеру телефона с указанным  кодом подтверждения - активирует привязку.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6xhiv8h7qul" w:id="42"/>
      <w:bookmarkEnd w:id="42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 Например, если метод CloseOrder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30ephoor59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44"/>
      <w:bookmarkEnd w:id="44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</w:t>
      </w:r>
      <w:commentRangeStart w:id="18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9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скидка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MaxDiscount{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сумма оплаты бонусами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MaxBonusPayment{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Указание использовать лимит для всего количества товара в заказе (значение true), или в пересчете на единицу товара (значение false)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IsFullAmountLimit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45"/>
      <w:bookmarkEnd w:id="45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PaymentToken = 8,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46"/>
      <w:bookmarkEnd w:id="46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</w:t>
      </w:r>
      <w:commentRangeStart w:id="20"/>
      <w:r w:rsidDel="00000000" w:rsidR="00000000" w:rsidRPr="00000000">
        <w:rPr>
          <w:b w:val="1"/>
          <w:rtl w:val="0"/>
        </w:rPr>
        <w:t xml:space="preserve">ChequeFooter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47"/>
      <w:bookmarkEnd w:id="47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48"/>
      <w:bookmarkEnd w:id="48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49"/>
      <w:bookmarkEnd w:id="49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7pojvrckhsk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rk741x89ux2p" w:id="51"/>
      <w:bookmarkEnd w:id="51"/>
      <w:r w:rsidDel="00000000" w:rsidR="00000000" w:rsidRPr="00000000">
        <w:rPr>
          <w:rtl w:val="0"/>
        </w:rPr>
        <w:t xml:space="preserve">Нотификации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Нотификация (уведомление) кассы о каком-либо внешнем событии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sealed class Notification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Уникальный идентификатор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Guid 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заказа или NULL, если нотификация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не предполагает привязки к заказу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public Guid? OrderId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Дата и время создания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 CreatedOn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Тип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int NotificationType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Текстовое сообщение, описывающее суть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string Message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Информация о госте (если нотификация привязана к гостю)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UserData UserData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Распарсить дополнительные данные как нотификацию об оплате.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Если не получилось, возвращается NULL.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PaymentNotification AsPaymentNotification();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Типы нотификаций для кассы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static class NotificationTypes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Уведомление об оплате заказа с сайта или мобильного приложения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бонусами или картой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const int Payment = 1;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Со временем будут добавляться другие типы нотификаци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Нотификация об оплате заказа на сайте или в мобильном приложении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картой или бонусами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class PaymentNotification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Список оплат по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WalletPayment[] Payments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Флаг, оплачен ли заказ полностью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public bool IsPaid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Остаток, который нужно доплатить клиенту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decimal SumToPay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3510gukuv7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61xnx7qn3i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54"/>
      <w:bookmarkEnd w:id="54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55"/>
      <w:bookmarkEnd w:id="55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56"/>
      <w:bookmarkEnd w:id="56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57"/>
      <w:bookmarkEnd w:id="5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шрифтами</w:t>
      </w:r>
    </w:p>
    <w:tbl>
      <w:tblPr>
        <w:tblStyle w:val="Table5"/>
        <w:bidi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25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26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59"/>
      <w:bookmarkEnd w:id="59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60"/>
      <w:bookmarkEnd w:id="60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выравниванием</w:t>
      </w:r>
    </w:p>
    <w:tbl>
      <w:tblPr>
        <w:tblStyle w:val="Table7"/>
        <w:bidi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61"/>
      <w:bookmarkEnd w:id="61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62"/>
      <w:bookmarkEnd w:id="62"/>
      <w:commentRangeStart w:id="2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переносом текста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63"/>
      <w:bookmarkEnd w:id="63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64"/>
      <w:bookmarkEnd w:id="64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vc2xphaqvn" w:id="65"/>
      <w:bookmarkEnd w:id="65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того, каким идентификатором авторизовался гость система может выдать разные результаты для оплат: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- это телефон, с которым гость зарегистрировался в системе platius.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CardNumber - номер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CardTrack - трек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commentRangeStart w:id="28"/>
      <w:r w:rsidDel="00000000" w:rsidR="00000000" w:rsidRPr="00000000">
        <w:rPr>
          <w:rtl w:val="0"/>
        </w:rPr>
        <w:t xml:space="preserve">Barcode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 и банковская карта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(order, UserSearchScope.Phone  | UserSearchScope.CardNumber)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pq6if381woa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gg81g1fz8ecz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68"/>
      <w:bookmarkEnd w:id="68"/>
      <w:r w:rsidDel="00000000" w:rsidR="00000000" w:rsidRPr="00000000">
        <w:rPr>
          <w:rtl w:val="0"/>
        </w:rPr>
        <w:t xml:space="preserve">Приложение 3: Нотификации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Уведомления о событиях, внешних для кассы (например: оплата заказа через сайт или мобильный телефон, вызов официанта через наше приложение и т.п.), должны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загружаться быстро, не нагружая кассу длительным ожиданием ответов с 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нотификаций и сохранения их в локальный кэш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данный момент реализовано только получение нотификаций об оплатах с сайта или мобильного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Задержка между произошедшим внешним событием и его попаданием в кэш клиентской библиотеки составляет около 15 секунд.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Унифицированный класс для всех нотификаций Notification содержит базовые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дата/время возникновения события (можно использовать для сортировки)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текстовое описание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заказа,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Предполагается, что касса, встретив нотификацию знакомого ей типа, вызовет специальный метод получения специфических для этого типа нотификации данных (например, Notification.AsPaymentNotification(...)) и обработает эти данные по-своему. А для незнакомых типов касса сможет отобразить текстовое сообщение </w:t>
      </w:r>
      <w:r w:rsidDel="00000000" w:rsidR="00000000" w:rsidRPr="00000000">
        <w:rPr>
          <w:rtl w:val="0"/>
        </w:rPr>
        <w:t xml:space="preserve">нотификации </w:t>
      </w:r>
      <w:r w:rsidDel="00000000" w:rsidR="00000000" w:rsidRPr="00000000">
        <w:rPr>
          <w:rtl w:val="0"/>
        </w:rPr>
        <w:t xml:space="preserve">на экране.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нотификаций из кэша клиентской библиотеки используется метод GetNotifications(...).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hmswxo5zhpb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mcg6cgdtmpy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188f32x0dwxc" w:id="71"/>
      <w:bookmarkEnd w:id="71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разрешённой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Platius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ewkmmjnjapu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cjmkynxj8v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z6vhe88j3e2" w:id="74"/>
      <w:bookmarkEnd w:id="74"/>
      <w:r w:rsidDel="00000000" w:rsidR="00000000" w:rsidRPr="00000000">
        <w:rPr>
          <w:rtl w:val="0"/>
        </w:rPr>
        <w:t xml:space="preserve">Приложение 5. Обработка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Рекомендованная схема обработки исключений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8363" cy="5791200"/>
            <wp:effectExtent b="0" l="0" r="0" t="0"/>
            <wp:docPr descr="Обработка ошибок.png" id="3" name="image06.png"/>
            <a:graphic>
              <a:graphicData uri="http://schemas.openxmlformats.org/drawingml/2006/picture">
                <pic:pic>
                  <pic:nvPicPr>
                    <pic:cNvPr descr="Обработка ошибок.png"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Согласно схеме, методы API делятся на две группы: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Могут генерировать исключения. </w:t>
      </w:r>
      <w:r w:rsidDel="00000000" w:rsidR="00000000" w:rsidRPr="00000000">
        <w:rPr>
          <w:rtl w:val="0"/>
        </w:rPr>
        <w:t xml:space="preserve">UpdateOrder, Checkin, Precheque, Pay. Все методы этой группы выполняют синхронное обращение на сервер platius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случае работа с заказом не может быть продолжена).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Не могут генерировать исключения. </w:t>
      </w:r>
      <w:r w:rsidDel="00000000" w:rsidR="00000000" w:rsidRPr="00000000">
        <w:rPr>
          <w:rtl w:val="0"/>
        </w:rPr>
        <w:t xml:space="preserve">Reset, Abort, CloseOrder. Выполняют асинхронное обращение на сервер platius. Первые два метода не имеют возвращаемого значения, поэтому сразу же отдают управление клиентскому коду. CloseOrder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режиме.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5wn0kc8r683" w:id="75"/>
      <w:bookmarkEnd w:id="75"/>
      <w:r w:rsidDel="00000000" w:rsidR="00000000" w:rsidRPr="00000000">
        <w:rPr>
          <w:rtl w:val="0"/>
        </w:rPr>
        <w:t xml:space="preserve">Что делать, если оплата не прошла и гость платит наличными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оплата не прошла, то ее можно повторить.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повтор не успешен, и гость решил оплатить рублями (или иным типом оплаты без Platius), то касса должна сделать: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скидки и оплату бонусом из заказа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оплату за не-Platius тип оплаты (не вызывать при этом Platius:Pay())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Platius.CloseOrder(SumForBonus) для начиления бонусов в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NB: Platius.Reset() вызывать не нужно, чтобы сохранить данные о чекине (привязку).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fzcaem8elf9" w:id="76"/>
      <w:bookmarkEnd w:id="76"/>
      <w:r w:rsidDel="00000000" w:rsidR="00000000" w:rsidRPr="00000000">
        <w:rPr>
          <w:rtl w:val="0"/>
        </w:rPr>
        <w:t xml:space="preserve">Что делать, если ошибка на фискальном регистраторе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следующая последовательность действий: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Platius.Pay()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FR.FiscalPrint () - печать фискального чека на ФРе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ошибка на принтере - с помощью кассира пытаться решить проблему (заменить бумагу, заменить ФР) и повторить FR.FiscalPrint()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успешна: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Platius.CloseOrder() - закрытие заказа и получение подвала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FR.NonFiscalPrint() - печать нефискальной квитанции с подвалом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неуспешна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Platius.Abort()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 и решение проблемы с ФРом.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внимание, что СНАЧАЛА заказ закрывается на фискальном регистраторе, и только ПОСЛЕ закрытия на ФРе, он закрывается в Platius - через CloseOrder (если все “хорошо”) и через Abort (если все “плохо”).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Альтернативное решение - использовать метод Refund на закрытом заказе (при Refund возможно удержание комиссии за эквайринг).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kei62fyhm9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e173g602o6t" w:id="78"/>
      <w:bookmarkEnd w:id="78"/>
      <w:r w:rsidDel="00000000" w:rsidR="00000000" w:rsidRPr="00000000">
        <w:rPr>
          <w:rtl w:val="0"/>
        </w:rPr>
        <w:t xml:space="preserve">Приложение 6. Задание лимитов скидок и оплат бонусами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vb7rh3yswj" w:id="79"/>
      <w:bookmarkEnd w:id="79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бонусами может проводится как оплата (дебетовая система) или как скидка (досконтная система).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pf8l37m5832" w:id="80"/>
      <w:bookmarkEnd w:id="80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Касса </w:t>
      </w:r>
      <w:r w:rsidDel="00000000" w:rsidR="00000000" w:rsidRPr="00000000">
        <w:rPr>
          <w:rtl w:val="0"/>
        </w:rPr>
        <w:t xml:space="preserve">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Минимальная цена блюда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оплачивать блюдо бонусами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бонусами это фискальный тип оплаты или скидка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rge6fe344ic" w:id="81"/>
      <w:bookmarkEnd w:id="81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Водка, стоит 200 р., по закону минимальная цена на неё 185 р..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2925"/>
        <w:gridCol w:w="3075"/>
        <w:tblGridChange w:id="0">
          <w:tblGrid>
            <w:gridCol w:w="2880"/>
            <w:gridCol w:w="2925"/>
            <w:gridCol w:w="3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Совместим ли тип оплаты бонусы с блюдом?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Бонусы – оплата (не скидка)?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Значения MaxDiscount / MaxBonusPayment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</w:p>
    <w:sectPr>
      <w:footerReference r:id="rId12" w:type="default"/>
      <w:pgSz w:h="16838" w:w="11906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20" w:date="2014-10-22T18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Kirill Sukhonosenko" w:id="16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Олег Чибиков" w:id="17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Kirill Sukhonosenko" w:id="18" w:date="2014-11-24T21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Kirill Sukhonosenko" w:id="28" w:date="2015-04-03T23:1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канает! Мы решили что barcode - это вид представления инфо (кодирования), а не тип идентификатора.</w:t>
      </w:r>
    </w:p>
  </w:comment>
  <w:comment w:author="Andrey Te" w:id="0" w:date="2014-10-10T21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21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Kirill Sukhonosenko" w:id="19" w:date="2014-11-28T17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Ivan Alexeev" w:id="25" w:date="2015-01-29T22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Ivan Alexeev" w:id="26" w:date="2015-01-29T22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Ivan Alexeev" w:id="27" w:date="2015-01-29T22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8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Борисов Денис" w:id="3" w:date="2014-10-16T19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Борисов Денис" w:id="6" w:date="2014-10-16T19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Михаил Немцан" w:id="21" w:date="2015-02-25T19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2" w:date="2014-10-09T20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23" w:date="2014-10-10T15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4" w:date="2014-10-11T01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06.png"/><Relationship Id="rId10" Type="http://schemas.openxmlformats.org/officeDocument/2006/relationships/image" Target="media/image07.png"/><Relationship Id="rId12" Type="http://schemas.openxmlformats.org/officeDocument/2006/relationships/footer" Target="footer1.xml"/><Relationship Id="rId9" Type="http://schemas.openxmlformats.org/officeDocument/2006/relationships/image" Target="media/image04.png"/><Relationship Id="rId5" Type="http://schemas.openxmlformats.org/officeDocument/2006/relationships/styles" Target="styles.xml"/><Relationship Id="rId6" Type="http://schemas.openxmlformats.org/officeDocument/2006/relationships/hyperlink" Target="https://api.platius.ru/" TargetMode="External"/><Relationship Id="rId7" Type="http://schemas.openxmlformats.org/officeDocument/2006/relationships/hyperlink" Target="http://www4.platius.ru:9010/" TargetMode="External"/><Relationship Id="rId8" Type="http://schemas.openxmlformats.org/officeDocument/2006/relationships/image" Target="media/image05.png"/></Relationships>
</file>