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bookmarkStart w:name="_Hlk85810516" w:id="0"/>
      <w:bookmarkEnd w:id="0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</w:t>
      </w:r>
      <w:bookmarkStart w:name="_Hlk87537414" w:id="1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ИНИСТЕРСТВО ЦИФРОВОГО РАЗВИТИЯ СВЯЗИ И МАССОВЫХ КОММУНИКАЦИЙ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Ордена Трудового Красного Знамени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«Московский технический университет связи и информатики»</w:t>
      </w:r>
    </w:p>
    <w:p>
      <w:pPr>
        <w:pStyle w:val="Normal.0"/>
        <w:spacing w:before="240"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Математическая кибернетика и информационные технологии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Отчет по практической работе 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«Введение в информационные технологии» 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Основы выборки </w:t>
      </w:r>
      <w:r>
        <w:rPr>
          <w:b w:val="1"/>
          <w:bCs w:val="1"/>
          <w:sz w:val="32"/>
          <w:szCs w:val="32"/>
          <w:rtl w:val="0"/>
          <w:lang w:val="ru-RU"/>
        </w:rPr>
        <w:t>SQL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БПИ</w:t>
      </w:r>
      <w:r>
        <w:rPr>
          <w:rFonts w:ascii="Times New Roman" w:hAnsi="Times New Roman"/>
          <w:sz w:val="28"/>
          <w:szCs w:val="28"/>
          <w:rtl w:val="0"/>
          <w:lang w:val="en-US"/>
        </w:rPr>
        <w:t>2403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ab/>
        <w:tab/>
        <w:tab/>
        <w:tab/>
        <w:tab/>
        <w:tab/>
        <w:t xml:space="preserve">   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Батин П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firstLine="476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Москва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</w:t>
      </w:r>
      <w:bookmarkEnd w:id="1"/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Normal.0"/>
        <w:tabs>
          <w:tab w:val="left" w:pos="5949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Normal (Web)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rmal (Web)"/>
        <w:ind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Изучить базовые команды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сортировки и выборки </w:t>
      </w:r>
      <w:r>
        <w:rPr>
          <w:b w:val="1"/>
          <w:bCs w:val="1"/>
          <w:sz w:val="28"/>
          <w:szCs w:val="28"/>
          <w:rtl w:val="0"/>
          <w:lang w:val="en-US"/>
        </w:rPr>
        <w:t xml:space="preserve">SQL </w:t>
      </w:r>
      <w:r>
        <w:rPr>
          <w:b w:val="1"/>
          <w:bCs w:val="1"/>
          <w:sz w:val="28"/>
          <w:szCs w:val="28"/>
          <w:rtl w:val="0"/>
          <w:lang w:val="ru-RU"/>
        </w:rPr>
        <w:t>и применить их на практике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дополнительную таблицу “Сотрудник”</w:t>
      </w:r>
    </w:p>
    <w:p>
      <w:pPr>
        <w:pStyle w:val="Normal.0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drawing xmlns:a="http://schemas.openxmlformats.org/drawingml/2006/main">
          <wp:inline distT="0" distB="0" distL="0" distR="0">
            <wp:extent cx="5474655" cy="2764829"/>
            <wp:effectExtent l="0" t="0" r="0" b="0"/>
            <wp:docPr id="1073741825" name="officeArt object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1" descr="Изображение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55" cy="27648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Внесите в каждую таблицу данные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after="0" w:line="360" w:lineRule="auto"/>
        <w:jc w:val="both"/>
      </w:pPr>
      <w:r>
        <w:drawing xmlns:a="http://schemas.openxmlformats.org/drawingml/2006/main">
          <wp:inline distT="0" distB="0" distL="0" distR="0">
            <wp:extent cx="5576884" cy="1349324"/>
            <wp:effectExtent l="0" t="0" r="0" b="0"/>
            <wp:docPr id="1073741826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84" cy="134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 таблиц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ам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напишите запрос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операциями группировки и сортировки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Также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реализуйте запросы с использованием агрегатных функций для таблицы “Сотрудник”</w:t>
      </w:r>
    </w:p>
    <w:p>
      <w:pPr>
        <w:pStyle w:val="Normal.0"/>
        <w:spacing w:after="0" w:line="360" w:lineRule="auto"/>
        <w:jc w:val="both"/>
      </w:pPr>
      <w:r>
        <w:drawing xmlns:a="http://schemas.openxmlformats.org/drawingml/2006/main">
          <wp:inline distT="0" distB="0" distL="0" distR="0">
            <wp:extent cx="6638925" cy="2464436"/>
            <wp:effectExtent l="0" t="0" r="0" b="0"/>
            <wp:docPr id="1073741827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4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 разобрал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основные команды сортировки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команды выборки и агрегатные функции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SQL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и применил их на практике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136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08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52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24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96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68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03" w:hanging="28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1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2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