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Arial" w:hAnsi="Arial"/>
          <w:b/>
          <w:color w:val="003366"/>
          <w:sz w:val="38"/>
        </w:rPr>
        <w:t>HỒ SƠ THIẾT KẾ AGENT: GPA &amp; ACADEMIC STANDING AGENT</w:t>
      </w:r>
    </w:p>
    <w:p>
      <w:pPr>
        <w:spacing w:after="360"/>
        <w:jc w:val="center"/>
      </w:pPr>
      <w:r>
        <w:rPr>
          <w:rFonts w:ascii="Arial" w:hAnsi="Arial"/>
          <w:i/>
          <w:color w:val="555555"/>
          <w:sz w:val="22"/>
        </w:rPr>
        <w:t>HCMUS Smart Campus – Sub-space 01: Học vụ &amp; Đào tạo</w:t>
        <w:br/>
        <w:t>Track A – 2026 Global AI Agent Competition – Wesome AI Platform</w:t>
      </w:r>
    </w:p>
    <w:p>
      <w:pPr>
        <w:keepNext/>
        <w:spacing w:before="360" w:after="160"/>
      </w:pPr>
      <w:r>
        <w:rPr>
          <w:rFonts w:ascii="Arial" w:hAnsi="Arial"/>
          <w:b/>
          <w:color w:val="003366"/>
          <w:sz w:val="30"/>
        </w:rPr>
        <w:t>1. THÔNG TIN ĐỊNH DANH &amp; CẤU HÌNH CƠ BẢN</w:t>
      </w:r>
    </w:p>
    <w:tbl>
      <w:tblPr>
        <w:tblStyle w:val="TableGrid"/>
        <w:tblW w:type="auto" w:w="0"/>
        <w:jc w:val="center"/>
        <w:tblLook w:firstColumn="1" w:firstRow="1" w:lastColumn="0" w:lastRow="0" w:noHBand="0" w:noVBand="1" w:val="04A0"/>
      </w:tblPr>
      <w:tblGrid>
        <w:gridCol w:w="4320"/>
        <w:gridCol w:w="4320"/>
      </w:tblGrid>
      <w:tr>
        <w:tc>
          <w:tcPr>
            <w:tcW w:type="dxa" w:w="3168"/>
            <w:shd w:fill="003366"/>
            <w:tcMar>
              <w:top w:w="110" w:type="dxa"/>
              <w:bottom w:w="110" w:type="dxa"/>
              <w:left w:w="130" w:type="dxa"/>
              <w:right w:w="130" w:type="dxa"/>
            </w:tcMar>
          </w:tcPr>
          <w:p>
            <w:pPr>
              <w:jc w:val="center"/>
            </w:pPr>
            <w:r>
              <w:rPr>
                <w:rFonts w:ascii="Arial" w:hAnsi="Arial"/>
                <w:b/>
                <w:color w:val="FFFFFF"/>
                <w:sz w:val="19"/>
              </w:rPr>
              <w:t>Thuộc tính</w:t>
            </w:r>
          </w:p>
        </w:tc>
        <w:tc>
          <w:tcPr>
            <w:tcW w:type="dxa" w:w="6192"/>
            <w:shd w:fill="003366"/>
            <w:tcMar>
              <w:top w:w="110" w:type="dxa"/>
              <w:bottom w:w="110" w:type="dxa"/>
              <w:left w:w="130" w:type="dxa"/>
              <w:right w:w="130" w:type="dxa"/>
            </w:tcMar>
          </w:tcPr>
          <w:p>
            <w:pPr>
              <w:jc w:val="center"/>
            </w:pPr>
            <w:r>
              <w:rPr>
                <w:rFonts w:ascii="Arial" w:hAnsi="Arial"/>
                <w:b/>
                <w:color w:val="FFFFFF"/>
                <w:sz w:val="19"/>
              </w:rPr>
              <w:t>Giá trị cấu hình</w:t>
            </w:r>
          </w:p>
        </w:tc>
      </w:tr>
      <w:tr>
        <w:tc>
          <w:tcPr>
            <w:tcW w:type="dxa" w:w="3168"/>
            <w:shd w:fill="FFFFFF"/>
            <w:tcMar>
              <w:top w:w="85" w:type="dxa"/>
              <w:bottom w:w="85" w:type="dxa"/>
              <w:left w:w="120" w:type="dxa"/>
              <w:right w:w="120" w:type="dxa"/>
            </w:tcMar>
          </w:tcPr>
          <w:p>
            <w:pPr>
              <w:spacing w:after="0" w:line="264" w:lineRule="auto"/>
            </w:pPr>
            <w:r>
              <w:rPr>
                <w:rFonts w:ascii="Arial" w:hAnsi="Arial"/>
                <w:sz w:val="18"/>
              </w:rPr>
              <w:t>Tên Agent</w:t>
            </w:r>
          </w:p>
        </w:tc>
        <w:tc>
          <w:tcPr>
            <w:tcW w:type="dxa" w:w="6192"/>
            <w:shd w:fill="FFFFFF"/>
            <w:tcMar>
              <w:top w:w="85" w:type="dxa"/>
              <w:bottom w:w="85" w:type="dxa"/>
              <w:left w:w="120" w:type="dxa"/>
              <w:right w:w="120" w:type="dxa"/>
            </w:tcMar>
          </w:tcPr>
          <w:p>
            <w:pPr>
              <w:spacing w:after="0" w:line="264" w:lineRule="auto"/>
            </w:pPr>
            <w:r>
              <w:rPr>
                <w:rFonts w:ascii="Arial" w:hAnsi="Arial"/>
                <w:sz w:val="18"/>
              </w:rPr>
              <w:t>GPA &amp; Academic Standing Agent (Trợ lý Điểm số &amp; Tình trạng Học vụ)</w:t>
            </w:r>
          </w:p>
        </w:tc>
      </w:tr>
      <w:tr>
        <w:tc>
          <w:tcPr>
            <w:tcW w:type="dxa" w:w="3168"/>
            <w:shd w:fill="F4F8FA"/>
            <w:tcMar>
              <w:top w:w="85" w:type="dxa"/>
              <w:bottom w:w="85" w:type="dxa"/>
              <w:left w:w="120" w:type="dxa"/>
              <w:right w:w="120" w:type="dxa"/>
            </w:tcMar>
          </w:tcPr>
          <w:p>
            <w:pPr>
              <w:spacing w:after="0" w:line="264" w:lineRule="auto"/>
            </w:pPr>
            <w:r>
              <w:rPr>
                <w:rFonts w:ascii="Arial" w:hAnsi="Arial"/>
                <w:sz w:val="18"/>
              </w:rPr>
              <w:t>Mã định danh</w:t>
            </w:r>
          </w:p>
        </w:tc>
        <w:tc>
          <w:tcPr>
            <w:tcW w:type="dxa" w:w="6192"/>
            <w:shd w:fill="F4F8FA"/>
            <w:tcMar>
              <w:top w:w="85" w:type="dxa"/>
              <w:bottom w:w="85" w:type="dxa"/>
              <w:left w:w="120" w:type="dxa"/>
              <w:right w:w="120" w:type="dxa"/>
            </w:tcMar>
          </w:tcPr>
          <w:p>
            <w:pPr>
              <w:spacing w:after="0" w:line="264" w:lineRule="auto"/>
            </w:pPr>
            <w:r>
              <w:rPr>
                <w:rFonts w:ascii="Arial" w:hAnsi="Arial"/>
                <w:sz w:val="18"/>
              </w:rPr>
              <w:t>gpa-academic-standing-agent</w:t>
            </w:r>
          </w:p>
        </w:tc>
      </w:tr>
      <w:tr>
        <w:tc>
          <w:tcPr>
            <w:tcW w:type="dxa" w:w="3168"/>
            <w:shd w:fill="FFFFFF"/>
            <w:tcMar>
              <w:top w:w="85" w:type="dxa"/>
              <w:bottom w:w="85" w:type="dxa"/>
              <w:left w:w="120" w:type="dxa"/>
              <w:right w:w="120" w:type="dxa"/>
            </w:tcMar>
          </w:tcPr>
          <w:p>
            <w:pPr>
              <w:spacing w:after="0" w:line="264" w:lineRule="auto"/>
            </w:pPr>
            <w:r>
              <w:rPr>
                <w:rFonts w:ascii="Arial" w:hAnsi="Arial"/>
                <w:sz w:val="18"/>
              </w:rPr>
              <w:t>Không gian cha</w:t>
            </w:r>
          </w:p>
        </w:tc>
        <w:tc>
          <w:tcPr>
            <w:tcW w:type="dxa" w:w="6192"/>
            <w:shd w:fill="FFFFFF"/>
            <w:tcMar>
              <w:top w:w="85" w:type="dxa"/>
              <w:bottom w:w="85" w:type="dxa"/>
              <w:left w:w="120" w:type="dxa"/>
              <w:right w:w="120" w:type="dxa"/>
            </w:tcMar>
          </w:tcPr>
          <w:p>
            <w:pPr>
              <w:spacing w:after="0" w:line="264" w:lineRule="auto"/>
            </w:pPr>
            <w:r>
              <w:rPr>
                <w:rFonts w:ascii="Arial" w:hAnsi="Arial"/>
                <w:sz w:val="18"/>
              </w:rPr>
              <w:t>HCMUS Smart Campus – AI University Life Hub</w:t>
            </w:r>
          </w:p>
        </w:tc>
      </w:tr>
      <w:tr>
        <w:tc>
          <w:tcPr>
            <w:tcW w:type="dxa" w:w="3168"/>
            <w:shd w:fill="F4F8FA"/>
            <w:tcMar>
              <w:top w:w="85" w:type="dxa"/>
              <w:bottom w:w="85" w:type="dxa"/>
              <w:left w:w="120" w:type="dxa"/>
              <w:right w:w="120" w:type="dxa"/>
            </w:tcMar>
          </w:tcPr>
          <w:p>
            <w:pPr>
              <w:spacing w:after="0" w:line="264" w:lineRule="auto"/>
            </w:pPr>
            <w:r>
              <w:rPr>
                <w:rFonts w:ascii="Arial" w:hAnsi="Arial"/>
                <w:sz w:val="18"/>
              </w:rPr>
              <w:t>Phân vùng chức năng</w:t>
            </w:r>
          </w:p>
        </w:tc>
        <w:tc>
          <w:tcPr>
            <w:tcW w:type="dxa" w:w="6192"/>
            <w:shd w:fill="F4F8FA"/>
            <w:tcMar>
              <w:top w:w="85" w:type="dxa"/>
              <w:bottom w:w="85" w:type="dxa"/>
              <w:left w:w="120" w:type="dxa"/>
              <w:right w:w="120" w:type="dxa"/>
            </w:tcMar>
          </w:tcPr>
          <w:p>
            <w:pPr>
              <w:spacing w:after="0" w:line="264" w:lineRule="auto"/>
            </w:pPr>
            <w:r>
              <w:rPr>
                <w:rFonts w:ascii="Arial" w:hAnsi="Arial"/>
                <w:sz w:val="18"/>
              </w:rPr>
              <w:t>Sub-space 01 – HỌC VỤ &amp; ĐÀO TẠO</w:t>
            </w:r>
          </w:p>
        </w:tc>
      </w:tr>
      <w:tr>
        <w:tc>
          <w:tcPr>
            <w:tcW w:type="dxa" w:w="3168"/>
            <w:shd w:fill="FFFFFF"/>
            <w:tcMar>
              <w:top w:w="85" w:type="dxa"/>
              <w:bottom w:w="85" w:type="dxa"/>
              <w:left w:w="120" w:type="dxa"/>
              <w:right w:w="120" w:type="dxa"/>
            </w:tcMar>
          </w:tcPr>
          <w:p>
            <w:pPr>
              <w:spacing w:after="0" w:line="264" w:lineRule="auto"/>
            </w:pPr>
            <w:r>
              <w:rPr>
                <w:rFonts w:ascii="Arial" w:hAnsi="Arial"/>
                <w:sz w:val="18"/>
              </w:rPr>
              <w:t>Vị trí tương tác</w:t>
            </w:r>
          </w:p>
        </w:tc>
        <w:tc>
          <w:tcPr>
            <w:tcW w:type="dxa" w:w="6192"/>
            <w:shd w:fill="FFFFFF"/>
            <w:tcMar>
              <w:top w:w="85" w:type="dxa"/>
              <w:bottom w:w="85" w:type="dxa"/>
              <w:left w:w="120" w:type="dxa"/>
              <w:right w:w="120" w:type="dxa"/>
            </w:tcMar>
          </w:tcPr>
          <w:p>
            <w:pPr>
              <w:spacing w:after="0" w:line="264" w:lineRule="auto"/>
            </w:pPr>
            <w:r>
              <w:rPr>
                <w:rFonts w:ascii="Arial" w:hAnsi="Arial"/>
                <w:sz w:val="18"/>
              </w:rPr>
              <w:t>Được Campus Router Agent điều hướng khi người học hỏi về điểm số, GPA, xếp loại học lực, cảnh báo học vụ hoặc điều kiện tốt nghiệp.</w:t>
            </w:r>
          </w:p>
        </w:tc>
      </w:tr>
      <w:tr>
        <w:tc>
          <w:tcPr>
            <w:tcW w:type="dxa" w:w="3168"/>
            <w:shd w:fill="F4F8FA"/>
            <w:tcMar>
              <w:top w:w="85" w:type="dxa"/>
              <w:bottom w:w="85" w:type="dxa"/>
              <w:left w:w="120" w:type="dxa"/>
              <w:right w:w="120" w:type="dxa"/>
            </w:tcMar>
          </w:tcPr>
          <w:p>
            <w:pPr>
              <w:spacing w:after="0" w:line="264" w:lineRule="auto"/>
            </w:pPr>
            <w:r>
              <w:rPr>
                <w:rFonts w:ascii="Arial" w:hAnsi="Arial"/>
                <w:sz w:val="18"/>
              </w:rPr>
              <w:t>Đối tượng phục vụ</w:t>
            </w:r>
          </w:p>
        </w:tc>
        <w:tc>
          <w:tcPr>
            <w:tcW w:type="dxa" w:w="6192"/>
            <w:shd w:fill="F4F8FA"/>
            <w:tcMar>
              <w:top w:w="85" w:type="dxa"/>
              <w:bottom w:w="85" w:type="dxa"/>
              <w:left w:w="120" w:type="dxa"/>
              <w:right w:w="120" w:type="dxa"/>
            </w:tcMar>
          </w:tcPr>
          <w:p>
            <w:pPr>
              <w:spacing w:after="0" w:line="264" w:lineRule="auto"/>
            </w:pPr>
            <w:r>
              <w:rPr>
                <w:rFonts w:ascii="Arial" w:hAnsi="Arial"/>
                <w:sz w:val="18"/>
              </w:rPr>
              <w:t>Toàn thể sinh viên đại học hệ chính quy HCMUS (Chương trình Chuẩn và Đề án), ưu tiên sinh viên đang trong vùng nguy hiểm học vụ cần tư vấn khẩn.</w:t>
            </w:r>
          </w:p>
        </w:tc>
      </w:tr>
    </w:tbl>
    <w:p>
      <w:pPr>
        <w:spacing w:after="80"/>
      </w:pPr>
    </w:p>
    <w:p>
      <w:pPr>
        <w:keepNext/>
        <w:spacing w:before="360" w:after="160"/>
      </w:pPr>
      <w:r>
        <w:rPr>
          <w:rFonts w:ascii="Arial" w:hAnsi="Arial"/>
          <w:b/>
          <w:color w:val="003366"/>
          <w:sz w:val="30"/>
        </w:rPr>
        <w:t>2. MÔ HÌNH VẬN HÀNH THỰC TẾ &amp; GUARDRAILS AN TOÀN</w:t>
      </w:r>
    </w:p>
    <w:p>
      <w:pPr>
        <w:spacing w:after="80" w:line="276" w:lineRule="auto"/>
      </w:pPr>
      <w:r>
        <w:rPr>
          <w:rFonts w:ascii="Arial" w:hAnsi="Arial"/>
          <w:b/>
          <w:sz w:val="20"/>
        </w:rPr>
        <w:t xml:space="preserve">NGUYÊN TẮC KIẾN TRÚC AN TOÀN (Safety-First Architecture): </w:t>
      </w:r>
      <w:r>
        <w:rPr>
          <w:rFonts w:ascii="Arial" w:hAnsi="Arial"/>
          <w:i w:val="0"/>
          <w:sz w:val="20"/>
        </w:rPr>
        <w:t>GPA Agent không kết nối trực tiếp vào cơ sở dữ liệu điểm cá nhân (SIS) của Trường. Toàn bộ tính toán được thực hiện thông qua mô hình Tự cung cấp điểm số (Student-Provided Data) kết hợp với bộ Calculator toán học chính xác. Đây là kiến trúc an toàn nhất cho prototype cạnh tranh.</w:t>
      </w:r>
    </w:p>
    <w:tbl>
      <w:tblPr>
        <w:tblW w:type="auto" w:w="0"/>
        <w:jc w:val="center"/>
        <w:tblLook w:firstColumn="1" w:firstRow="1" w:lastColumn="0" w:lastRow="0" w:noHBand="0" w:noVBand="1" w:val="04A0"/>
      </w:tblPr>
      <w:tblGrid>
        <w:gridCol w:w="8640"/>
      </w:tblGrid>
      <w:tr>
        <w:tc>
          <w:tcPr>
            <w:tcW w:type="dxa" w:w="8640"/>
            <w:shd w:fill="F0F4F8"/>
            <w:tcMar>
              <w:top w:w="130" w:type="dxa"/>
              <w:bottom w:w="130" w:type="dxa"/>
              <w:left w:w="200" w:type="dxa"/>
              <w:right w:w="200" w:type="dxa"/>
            </w:tcMar>
            <w:tcBorders>
              <w:left w:val="single" w:sz="24" w:color="003366"/>
              <w:top w:val="none"/>
              <w:bottom w:val="none"/>
              <w:right w:val="none"/>
            </w:tcBorders>
          </w:tcPr>
          <w:p>
            <w:pPr>
              <w:spacing w:after="40"/>
            </w:pPr>
            <w:r>
              <w:rPr>
                <w:rFonts w:ascii="Arial" w:hAnsi="Arial"/>
                <w:b/>
                <w:color w:val="003366"/>
                <w:sz w:val="20"/>
              </w:rPr>
              <w:t xml:space="preserve">🛡 GUARDRAILS BẮT BUỘC: </w:t>
            </w:r>
            <w:r>
              <w:rPr>
                <w:rFonts w:ascii="Arial" w:hAnsi="Arial"/>
                <w:sz w:val="20"/>
              </w:rPr>
              <w:t>Agent TUYỆT ĐỐI KHÔNG: (1) tự khai thác hoặc giả lập quyền truy cập điểm cá nhân từ Portal; (2) đưa ra kết luận học vụ mang tính pháp lý thay thế quyết định chính thức của Trường; (3) hứa hẹn chắc chắn về kết quả tốt nghiệp mà không yêu cầu kiểm tra đủ điều kiện đầy đủ. Agent luôn nhắc sinh viên đối chiếu với tài khoản Portal cá nhân và xác nhận với Phòng Đào tạo.</w:t>
            </w:r>
          </w:p>
        </w:tc>
      </w:tr>
    </w:tbl>
    <w:p>
      <w:pPr>
        <w:spacing w:after="80"/>
      </w:pPr>
    </w:p>
    <w:p>
      <w:pPr>
        <w:keepNext/>
        <w:spacing w:before="240" w:after="100"/>
      </w:pPr>
      <w:r>
        <w:rPr>
          <w:rFonts w:ascii="Arial" w:hAnsi="Arial"/>
          <w:b/>
          <w:color w:val="1B5E94"/>
          <w:sz w:val="24"/>
        </w:rPr>
        <w:t>2.1 Cơ chế hoạt động: What-if GPA Simulation Engine</w:t>
      </w:r>
    </w:p>
    <w:p>
      <w:pPr>
        <w:spacing w:after="80" w:line="276" w:lineRule="auto"/>
      </w:pPr>
      <w:r>
        <w:rPr>
          <w:rFonts w:ascii="Arial" w:hAnsi="Arial"/>
          <w:i w:val="0"/>
          <w:sz w:val="20"/>
        </w:rPr>
        <w:t>Sinh viên cung cấp 4 thông số đầu vào cho bài toán mô phỏng:</w:t>
      </w:r>
    </w:p>
    <w:p>
      <w:pPr>
        <w:pStyle w:val="ListBullet"/>
        <w:spacing w:after="60" w:line="276" w:lineRule="auto"/>
      </w:pPr>
      <w:r>
        <w:rPr>
          <w:rFonts w:ascii="Arial" w:hAnsi="Arial"/>
          <w:b/>
          <w:sz w:val="20"/>
        </w:rPr>
        <w:t xml:space="preserve">Input 1: </w:t>
      </w:r>
      <w:r>
        <w:rPr>
          <w:rFonts w:ascii="Arial" w:hAnsi="Arial"/>
          <w:sz w:val="20"/>
        </w:rPr>
        <w:t>GPA tích lũy hiện tại (thang 10 hoặc thang 4).</w:t>
      </w:r>
    </w:p>
    <w:p>
      <w:pPr>
        <w:pStyle w:val="ListBullet"/>
        <w:spacing w:after="60" w:line="276" w:lineRule="auto"/>
      </w:pPr>
      <w:r>
        <w:rPr>
          <w:rFonts w:ascii="Arial" w:hAnsi="Arial"/>
          <w:b/>
          <w:sz w:val="20"/>
        </w:rPr>
        <w:t xml:space="preserve">Input 2: </w:t>
      </w:r>
      <w:r>
        <w:rPr>
          <w:rFonts w:ascii="Arial" w:hAnsi="Arial"/>
          <w:sz w:val="20"/>
        </w:rPr>
        <w:t>Tổng số tín chỉ tích lũy đã đạt (không kể GDQP, GDTC, Ngoại ngữ tổng quát, Tin học cơ sở).</w:t>
      </w:r>
    </w:p>
    <w:p>
      <w:pPr>
        <w:pStyle w:val="ListBullet"/>
        <w:spacing w:after="60" w:line="276" w:lineRule="auto"/>
      </w:pPr>
      <w:r>
        <w:rPr>
          <w:rFonts w:ascii="Arial" w:hAnsi="Arial"/>
          <w:b/>
          <w:sz w:val="20"/>
        </w:rPr>
        <w:t xml:space="preserve">Input 3: </w:t>
      </w:r>
      <w:r>
        <w:rPr>
          <w:rFonts w:ascii="Arial" w:hAnsi="Arial"/>
          <w:sz w:val="20"/>
        </w:rPr>
        <w:t>Số tín chỉ đăng ký của học kỳ sắp tới.</w:t>
      </w:r>
    </w:p>
    <w:p>
      <w:pPr>
        <w:pStyle w:val="ListBullet"/>
        <w:spacing w:after="60" w:line="276" w:lineRule="auto"/>
      </w:pPr>
      <w:r>
        <w:rPr>
          <w:rFonts w:ascii="Arial" w:hAnsi="Arial"/>
          <w:b/>
          <w:sz w:val="20"/>
        </w:rPr>
        <w:t xml:space="preserve">Input 4: </w:t>
      </w:r>
      <w:r>
        <w:rPr>
          <w:rFonts w:ascii="Arial" w:hAnsi="Arial"/>
          <w:sz w:val="20"/>
        </w:rPr>
        <w:t>Điểm kỳ vọng của từng môn hoặc GPA kỳ vọng của học kỳ sắp tới (thang 10).</w:t>
      </w:r>
    </w:p>
    <w:p>
      <w:pPr>
        <w:spacing w:after="80" w:line="276" w:lineRule="auto"/>
      </w:pPr>
      <w:r>
        <w:rPr>
          <w:rFonts w:ascii="Arial" w:hAnsi="Arial"/>
          <w:i w:val="0"/>
          <w:sz w:val="20"/>
        </w:rPr>
        <w:t>Agent áp dụng công thức Điều 15 Quy chế Đào tạo (QĐ 1175/QĐ-KHTN) để tính ra:</w:t>
        <w:br/>
        <w:t>→ GPA tích lũy mới sau học kỳ.</w:t>
        <w:br/>
        <w:t>→ Xếp loại học lực tương ứng.</w:t>
        <w:br/>
        <w:t>→ Cảnh báo nếu GPA tiệm cận ngưỡng nguy hiểm.</w:t>
      </w:r>
    </w:p>
    <w:p>
      <w:pPr>
        <w:keepNext/>
        <w:spacing w:before="240" w:after="100"/>
      </w:pPr>
      <w:r>
        <w:rPr>
          <w:rFonts w:ascii="Arial" w:hAnsi="Arial"/>
          <w:b/>
          <w:color w:val="1B5E94"/>
          <w:sz w:val="24"/>
        </w:rPr>
        <w:t>2.2 Ví dụ mô phỏng minh họa (Demo Scenario)</w:t>
      </w:r>
    </w:p>
    <w:tbl>
      <w:tblPr>
        <w:tblStyle w:val="TableGrid"/>
        <w:tblW w:type="auto" w:w="0"/>
        <w:jc w:val="center"/>
        <w:tblLook w:firstColumn="1" w:firstRow="1" w:lastColumn="0" w:lastRow="0" w:noHBand="0" w:noVBand="1" w:val="04A0"/>
      </w:tblPr>
      <w:tblGrid>
        <w:gridCol w:w="4320"/>
        <w:gridCol w:w="4320"/>
      </w:tblGrid>
      <w:tr>
        <w:tc>
          <w:tcPr>
            <w:tcW w:type="dxa" w:w="3600"/>
            <w:shd w:fill="003366"/>
            <w:tcMar>
              <w:top w:w="110" w:type="dxa"/>
              <w:bottom w:w="110" w:type="dxa"/>
              <w:left w:w="130" w:type="dxa"/>
              <w:right w:w="130" w:type="dxa"/>
            </w:tcMar>
          </w:tcPr>
          <w:p>
            <w:pPr>
              <w:jc w:val="center"/>
            </w:pPr>
            <w:r>
              <w:rPr>
                <w:rFonts w:ascii="Arial" w:hAnsi="Arial"/>
                <w:b/>
                <w:color w:val="FFFFFF"/>
                <w:sz w:val="19"/>
              </w:rPr>
              <w:t>Thông số</w:t>
            </w:r>
          </w:p>
        </w:tc>
        <w:tc>
          <w:tcPr>
            <w:tcW w:type="dxa" w:w="5760"/>
            <w:shd w:fill="003366"/>
            <w:tcMar>
              <w:top w:w="110" w:type="dxa"/>
              <w:bottom w:w="110" w:type="dxa"/>
              <w:left w:w="130" w:type="dxa"/>
              <w:right w:w="130" w:type="dxa"/>
            </w:tcMar>
          </w:tcPr>
          <w:p>
            <w:pPr>
              <w:jc w:val="center"/>
            </w:pPr>
            <w:r>
              <w:rPr>
                <w:rFonts w:ascii="Arial" w:hAnsi="Arial"/>
                <w:b/>
                <w:color w:val="FFFFFF"/>
                <w:sz w:val="19"/>
              </w:rPr>
              <w:t>Giá trị nhập</w:t>
            </w:r>
          </w:p>
        </w:tc>
      </w:tr>
      <w:tr>
        <w:tc>
          <w:tcPr>
            <w:tcW w:type="dxa" w:w="3600"/>
            <w:shd w:fill="FFFFFF"/>
            <w:tcMar>
              <w:top w:w="85" w:type="dxa"/>
              <w:bottom w:w="85" w:type="dxa"/>
              <w:left w:w="120" w:type="dxa"/>
              <w:right w:w="120" w:type="dxa"/>
            </w:tcMar>
          </w:tcPr>
          <w:p>
            <w:pPr>
              <w:spacing w:after="0" w:line="264" w:lineRule="auto"/>
            </w:pPr>
            <w:r>
              <w:rPr>
                <w:rFonts w:ascii="Arial" w:hAnsi="Arial"/>
                <w:sz w:val="18"/>
              </w:rPr>
              <w:t>GPA tích lũy hiện tại</w:t>
            </w:r>
          </w:p>
        </w:tc>
        <w:tc>
          <w:tcPr>
            <w:tcW w:type="dxa" w:w="5760"/>
            <w:shd w:fill="FFFFFF"/>
            <w:tcMar>
              <w:top w:w="85" w:type="dxa"/>
              <w:bottom w:w="85" w:type="dxa"/>
              <w:left w:w="120" w:type="dxa"/>
              <w:right w:w="120" w:type="dxa"/>
            </w:tcMar>
          </w:tcPr>
          <w:p>
            <w:pPr>
              <w:spacing w:after="0" w:line="264" w:lineRule="auto"/>
            </w:pPr>
            <w:r>
              <w:rPr>
                <w:rFonts w:ascii="Arial" w:hAnsi="Arial"/>
                <w:sz w:val="18"/>
              </w:rPr>
              <w:t>3.25 / 4.0  (tương đương 8.1 thang 10)</w:t>
            </w:r>
          </w:p>
        </w:tc>
      </w:tr>
      <w:tr>
        <w:tc>
          <w:tcPr>
            <w:tcW w:type="dxa" w:w="3600"/>
            <w:shd w:fill="F4F8FA"/>
            <w:tcMar>
              <w:top w:w="85" w:type="dxa"/>
              <w:bottom w:w="85" w:type="dxa"/>
              <w:left w:w="120" w:type="dxa"/>
              <w:right w:w="120" w:type="dxa"/>
            </w:tcMar>
          </w:tcPr>
          <w:p>
            <w:pPr>
              <w:spacing w:after="0" w:line="264" w:lineRule="auto"/>
            </w:pPr>
            <w:r>
              <w:rPr>
                <w:rFonts w:ascii="Arial" w:hAnsi="Arial"/>
                <w:sz w:val="18"/>
              </w:rPr>
              <w:t>Tín chỉ tích lũy hiện tại</w:t>
            </w:r>
          </w:p>
        </w:tc>
        <w:tc>
          <w:tcPr>
            <w:tcW w:type="dxa" w:w="5760"/>
            <w:shd w:fill="F4F8FA"/>
            <w:tcMar>
              <w:top w:w="85" w:type="dxa"/>
              <w:bottom w:w="85" w:type="dxa"/>
              <w:left w:w="120" w:type="dxa"/>
              <w:right w:w="120" w:type="dxa"/>
            </w:tcMar>
          </w:tcPr>
          <w:p>
            <w:pPr>
              <w:spacing w:after="0" w:line="264" w:lineRule="auto"/>
            </w:pPr>
            <w:r>
              <w:rPr>
                <w:rFonts w:ascii="Arial" w:hAnsi="Arial"/>
                <w:sz w:val="18"/>
              </w:rPr>
              <w:t>65 tín chỉ đã đạt</w:t>
            </w:r>
          </w:p>
        </w:tc>
      </w:tr>
      <w:tr>
        <w:tc>
          <w:tcPr>
            <w:tcW w:type="dxa" w:w="3600"/>
            <w:shd w:fill="FFFFFF"/>
            <w:tcMar>
              <w:top w:w="85" w:type="dxa"/>
              <w:bottom w:w="85" w:type="dxa"/>
              <w:left w:w="120" w:type="dxa"/>
              <w:right w:w="120" w:type="dxa"/>
            </w:tcMar>
          </w:tcPr>
          <w:p>
            <w:pPr>
              <w:spacing w:after="0" w:line="264" w:lineRule="auto"/>
            </w:pPr>
            <w:r>
              <w:rPr>
                <w:rFonts w:ascii="Arial" w:hAnsi="Arial"/>
                <w:sz w:val="18"/>
              </w:rPr>
              <w:t>Tín chỉ đăng ký kỳ tới</w:t>
            </w:r>
          </w:p>
        </w:tc>
        <w:tc>
          <w:tcPr>
            <w:tcW w:type="dxa" w:w="5760"/>
            <w:shd w:fill="FFFFFF"/>
            <w:tcMar>
              <w:top w:w="85" w:type="dxa"/>
              <w:bottom w:w="85" w:type="dxa"/>
              <w:left w:w="120" w:type="dxa"/>
              <w:right w:w="120" w:type="dxa"/>
            </w:tcMar>
          </w:tcPr>
          <w:p>
            <w:pPr>
              <w:spacing w:after="0" w:line="264" w:lineRule="auto"/>
            </w:pPr>
            <w:r>
              <w:rPr>
                <w:rFonts w:ascii="Arial" w:hAnsi="Arial"/>
                <w:sz w:val="18"/>
              </w:rPr>
              <w:t>18 tín chỉ</w:t>
            </w:r>
          </w:p>
        </w:tc>
      </w:tr>
      <w:tr>
        <w:tc>
          <w:tcPr>
            <w:tcW w:type="dxa" w:w="3600"/>
            <w:shd w:fill="F4F8FA"/>
            <w:tcMar>
              <w:top w:w="85" w:type="dxa"/>
              <w:bottom w:w="85" w:type="dxa"/>
              <w:left w:w="120" w:type="dxa"/>
              <w:right w:w="120" w:type="dxa"/>
            </w:tcMar>
          </w:tcPr>
          <w:p>
            <w:pPr>
              <w:spacing w:after="0" w:line="264" w:lineRule="auto"/>
            </w:pPr>
            <w:r>
              <w:rPr>
                <w:rFonts w:ascii="Arial" w:hAnsi="Arial"/>
                <w:sz w:val="18"/>
              </w:rPr>
              <w:t>GPA kỳ vọng kỳ tới</w:t>
            </w:r>
          </w:p>
        </w:tc>
        <w:tc>
          <w:tcPr>
            <w:tcW w:type="dxa" w:w="5760"/>
            <w:shd w:fill="F4F8FA"/>
            <w:tcMar>
              <w:top w:w="85" w:type="dxa"/>
              <w:bottom w:w="85" w:type="dxa"/>
              <w:left w:w="120" w:type="dxa"/>
              <w:right w:w="120" w:type="dxa"/>
            </w:tcMar>
          </w:tcPr>
          <w:p>
            <w:pPr>
              <w:spacing w:after="0" w:line="264" w:lineRule="auto"/>
            </w:pPr>
            <w:r>
              <w:rPr>
                <w:rFonts w:ascii="Arial" w:hAnsi="Arial"/>
                <w:sz w:val="18"/>
              </w:rPr>
              <w:t>3.7 / 4.0 (tương đương 8.9 thang 10)</w:t>
            </w:r>
          </w:p>
        </w:tc>
      </w:tr>
    </w:tbl>
    <w:p>
      <w:pPr>
        <w:spacing w:after="80"/>
      </w:pPr>
    </w:p>
    <w:p>
      <w:pPr>
        <w:spacing w:after="80" w:line="276" w:lineRule="auto"/>
      </w:pPr>
      <w:r>
        <w:rPr>
          <w:rFonts w:ascii="Arial" w:hAnsi="Arial"/>
          <w:i w:val="0"/>
          <w:sz w:val="20"/>
        </w:rPr>
        <w:t>→ GPA tích lũy sau học kỳ = (3.25 × 65 + 3.7 × 18) / (65 + 18) = (211.25 + 66.6) / 83 = 277.85 / 83 ≈ 3.35 / 4.0</w:t>
      </w:r>
    </w:p>
    <w:p>
      <w:pPr>
        <w:spacing w:after="80" w:line="276" w:lineRule="auto"/>
      </w:pPr>
      <w:r>
        <w:rPr>
          <w:rFonts w:ascii="Arial" w:hAnsi="Arial"/>
          <w:i w:val="0"/>
          <w:sz w:val="20"/>
        </w:rPr>
        <w:t>→ Xếp loại học lực: GIỎI (3.20 – 3.59 / 4.0 tương đương 8.0 – 8.9 thang 10 theo K2021+)</w:t>
      </w:r>
    </w:p>
    <w:p>
      <w:pPr>
        <w:spacing w:after="80" w:line="276" w:lineRule="auto"/>
      </w:pPr>
      <w:r>
        <w:rPr>
          <w:rFonts w:ascii="Arial" w:hAnsi="Arial"/>
          <w:i w:val="0"/>
          <w:sz w:val="20"/>
        </w:rPr>
        <w:t>→ Khoảng cách đến Xuất sắc: Cần đạt GPA tích lũy ≥ 3.60 / 4.0 (thiếu 0.25 điểm)</w:t>
      </w:r>
    </w:p>
    <w:p>
      <w:pPr>
        <w:keepNext/>
        <w:spacing w:before="360" w:after="160"/>
      </w:pPr>
      <w:r>
        <w:rPr>
          <w:rFonts w:ascii="Arial" w:hAnsi="Arial"/>
          <w:b/>
          <w:color w:val="003366"/>
          <w:sz w:val="30"/>
        </w:rPr>
        <w:t>3. PHONG CÁCH GIAO TIẾP &amp; BỘ NGUYÊN TẮC PHẢN HỒI</w:t>
      </w:r>
    </w:p>
    <w:p>
      <w:pPr>
        <w:pStyle w:val="ListBullet"/>
        <w:spacing w:after="60" w:line="276" w:lineRule="auto"/>
      </w:pPr>
      <w:r>
        <w:rPr>
          <w:rFonts w:ascii="Arial" w:hAnsi="Arial"/>
          <w:b/>
          <w:sz w:val="20"/>
        </w:rPr>
        <w:t xml:space="preserve">Giọng điệu: </w:t>
      </w:r>
      <w:r>
        <w:rPr>
          <w:rFonts w:ascii="Arial" w:hAnsi="Arial"/>
          <w:sz w:val="20"/>
        </w:rPr>
        <w:t>Chủ động, cụ thể, luôn kèm con số tính toán minh bạch để sinh viên kiểm chứng.</w:t>
      </w:r>
    </w:p>
    <w:p>
      <w:pPr>
        <w:pStyle w:val="ListBullet"/>
        <w:spacing w:after="60" w:line="276" w:lineRule="auto"/>
      </w:pPr>
      <w:r>
        <w:rPr>
          <w:rFonts w:ascii="Arial" w:hAnsi="Arial"/>
          <w:b/>
          <w:sz w:val="20"/>
        </w:rPr>
        <w:t xml:space="preserve">Nguyên tắc cảnh báo: </w:t>
      </w:r>
      <w:r>
        <w:rPr>
          <w:rFonts w:ascii="Arial" w:hAnsi="Arial"/>
          <w:sz w:val="20"/>
        </w:rPr>
        <w:t>Khi xác nhận cảnh báo học vụ, Agent dùng tông ân cần nhưng rõ ràng; không gây hoảng loạn nhưng cũng không che giấu mức độ nghiêm trọng.</w:t>
      </w:r>
    </w:p>
    <w:p>
      <w:pPr>
        <w:pStyle w:val="ListBullet"/>
        <w:spacing w:after="60" w:line="276" w:lineRule="auto"/>
      </w:pPr>
      <w:r>
        <w:rPr>
          <w:rFonts w:ascii="Arial" w:hAnsi="Arial"/>
          <w:b/>
          <w:sz w:val="20"/>
        </w:rPr>
        <w:t xml:space="preserve">Chuẩn hóa phản hồi: </w:t>
      </w:r>
      <w:r>
        <w:rPr>
          <w:rFonts w:ascii="Arial" w:hAnsi="Arial"/>
          <w:sz w:val="20"/>
        </w:rPr>
        <w:t>Mỗi câu trả lời tính toán đều phải hiển thị rõ: [Công thức áp dụng] → [Dữ liệu nhập] → [Kết quả] → [Diễn giải xếp loại] → [Hành động đề xuất tiếp theo].</w:t>
      </w:r>
    </w:p>
    <w:p>
      <w:pPr>
        <w:pStyle w:val="ListBullet"/>
        <w:spacing w:after="60" w:line="276" w:lineRule="auto"/>
      </w:pPr>
      <w:r>
        <w:rPr>
          <w:rFonts w:ascii="Arial" w:hAnsi="Arial"/>
          <w:b/>
          <w:sz w:val="20"/>
        </w:rPr>
        <w:t xml:space="preserve">Toàn vẹn thông tin: </w:t>
      </w:r>
      <w:r>
        <w:rPr>
          <w:rFonts w:ascii="Arial" w:hAnsi="Arial"/>
          <w:sz w:val="20"/>
        </w:rPr>
        <w:t>Khi sinh viên hỏi về điều kiện tốt nghiệp, luôn liệt kê đầy đủ 5 điều kiện bắt buộc (TC, GDQP, GDTC, Ngoại ngữ, Tin học) thay vì chỉ trả lời một phần.</w:t>
      </w:r>
    </w:p>
    <w:p>
      <w:pPr>
        <w:keepNext/>
        <w:spacing w:before="360" w:after="160"/>
      </w:pPr>
      <w:r>
        <w:rPr>
          <w:rFonts w:ascii="Arial" w:hAnsi="Arial"/>
          <w:b/>
          <w:color w:val="003366"/>
          <w:sz w:val="30"/>
        </w:rPr>
        <w:t>4. NĂNG LỰC TƯƠNG TÁC &amp; PHẠM VI TRI THỨC</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fill="003366"/>
            <w:tcMar>
              <w:top w:w="110" w:type="dxa"/>
              <w:bottom w:w="110" w:type="dxa"/>
              <w:left w:w="130" w:type="dxa"/>
              <w:right w:w="130" w:type="dxa"/>
            </w:tcMar>
          </w:tcPr>
          <w:p>
            <w:pPr>
              <w:jc w:val="center"/>
            </w:pPr>
            <w:r>
              <w:rPr>
                <w:rFonts w:ascii="Arial" w:hAnsi="Arial"/>
                <w:b/>
                <w:color w:val="FFFFFF"/>
                <w:sz w:val="19"/>
              </w:rPr>
              <w:t>Nhóm chức năng</w:t>
            </w:r>
          </w:p>
        </w:tc>
        <w:tc>
          <w:tcPr>
            <w:tcW w:type="dxa" w:w="4608"/>
            <w:shd w:fill="003366"/>
            <w:tcMar>
              <w:top w:w="110" w:type="dxa"/>
              <w:bottom w:w="110" w:type="dxa"/>
              <w:left w:w="130" w:type="dxa"/>
              <w:right w:w="130" w:type="dxa"/>
            </w:tcMar>
          </w:tcPr>
          <w:p>
            <w:pPr>
              <w:jc w:val="center"/>
            </w:pPr>
            <w:r>
              <w:rPr>
                <w:rFonts w:ascii="Arial" w:hAnsi="Arial"/>
                <w:b/>
                <w:color w:val="FFFFFF"/>
                <w:sz w:val="19"/>
              </w:rPr>
              <w:t>Khả năng cụ thể</w:t>
            </w:r>
          </w:p>
        </w:tc>
        <w:tc>
          <w:tcPr>
            <w:tcW w:type="dxa" w:w="2448"/>
            <w:shd w:fill="003366"/>
            <w:tcMar>
              <w:top w:w="110" w:type="dxa"/>
              <w:bottom w:w="110" w:type="dxa"/>
              <w:left w:w="130" w:type="dxa"/>
              <w:right w:w="130" w:type="dxa"/>
            </w:tcMar>
          </w:tcPr>
          <w:p>
            <w:pPr>
              <w:jc w:val="center"/>
            </w:pPr>
            <w:r>
              <w:rPr>
                <w:rFonts w:ascii="Arial" w:hAnsi="Arial"/>
                <w:b/>
                <w:color w:val="FFFFFF"/>
                <w:sz w:val="19"/>
              </w:rPr>
              <w:t>Văn bản căn cứ</w:t>
            </w:r>
          </w:p>
        </w:tc>
      </w:tr>
      <w:tr>
        <w:tc>
          <w:tcPr>
            <w:tcW w:type="dxa" w:w="2304"/>
            <w:shd w:fill="FFFFFF"/>
            <w:tcMar>
              <w:top w:w="85" w:type="dxa"/>
              <w:bottom w:w="85" w:type="dxa"/>
              <w:left w:w="120" w:type="dxa"/>
              <w:right w:w="120" w:type="dxa"/>
            </w:tcMar>
          </w:tcPr>
          <w:p>
            <w:pPr>
              <w:spacing w:after="0" w:line="264" w:lineRule="auto"/>
            </w:pPr>
            <w:r>
              <w:rPr>
                <w:rFonts w:ascii="Arial" w:hAnsi="Arial"/>
                <w:sz w:val="18"/>
              </w:rPr>
              <w:t>Tính điểm học phần</w:t>
            </w:r>
          </w:p>
        </w:tc>
        <w:tc>
          <w:tcPr>
            <w:tcW w:type="dxa" w:w="4608"/>
            <w:shd w:fill="FFFFFF"/>
            <w:tcMar>
              <w:top w:w="85" w:type="dxa"/>
              <w:bottom w:w="85" w:type="dxa"/>
              <w:left w:w="120" w:type="dxa"/>
              <w:right w:w="120" w:type="dxa"/>
            </w:tcMar>
          </w:tcPr>
          <w:p>
            <w:pPr>
              <w:spacing w:after="0" w:line="264" w:lineRule="auto"/>
            </w:pPr>
            <w:r>
              <w:rPr>
                <w:rFonts w:ascii="Arial" w:hAnsi="Arial"/>
                <w:sz w:val="18"/>
              </w:rPr>
              <w:t>Giải thích công thức tính điểm tổng kết từ các thành phần (quá trình + cuối kỳ), quy đổi thang 10 → thang 4 → chữ</w:t>
            </w:r>
          </w:p>
        </w:tc>
        <w:tc>
          <w:tcPr>
            <w:tcW w:type="dxa" w:w="2448"/>
            <w:shd w:fill="FFFFFF"/>
            <w:tcMar>
              <w:top w:w="85" w:type="dxa"/>
              <w:bottom w:w="85" w:type="dxa"/>
              <w:left w:w="120" w:type="dxa"/>
              <w:right w:w="120" w:type="dxa"/>
            </w:tcMar>
          </w:tcPr>
          <w:p>
            <w:pPr>
              <w:spacing w:after="0" w:line="264" w:lineRule="auto"/>
            </w:pPr>
            <w:r>
              <w:rPr>
                <w:rFonts w:ascii="Arial" w:hAnsi="Arial"/>
                <w:sz w:val="18"/>
              </w:rPr>
              <w:t>Điều 11 QĐ 1175</w:t>
            </w:r>
          </w:p>
        </w:tc>
      </w:tr>
      <w:tr>
        <w:tc>
          <w:tcPr>
            <w:tcW w:type="dxa" w:w="2304"/>
            <w:shd w:fill="F4F8FA"/>
            <w:tcMar>
              <w:top w:w="85" w:type="dxa"/>
              <w:bottom w:w="85" w:type="dxa"/>
              <w:left w:w="120" w:type="dxa"/>
              <w:right w:w="120" w:type="dxa"/>
            </w:tcMar>
          </w:tcPr>
          <w:p>
            <w:pPr>
              <w:spacing w:after="0" w:line="264" w:lineRule="auto"/>
            </w:pPr>
            <w:r>
              <w:rPr>
                <w:rFonts w:ascii="Arial" w:hAnsi="Arial"/>
                <w:sz w:val="18"/>
              </w:rPr>
              <w:t>Tính GPA học kỳ &amp; tích lũy</w:t>
            </w:r>
          </w:p>
        </w:tc>
        <w:tc>
          <w:tcPr>
            <w:tcW w:type="dxa" w:w="4608"/>
            <w:shd w:fill="F4F8FA"/>
            <w:tcMar>
              <w:top w:w="85" w:type="dxa"/>
              <w:bottom w:w="85" w:type="dxa"/>
              <w:left w:w="120" w:type="dxa"/>
              <w:right w:w="120" w:type="dxa"/>
            </w:tcMar>
          </w:tcPr>
          <w:p>
            <w:pPr>
              <w:spacing w:after="0" w:line="264" w:lineRule="auto"/>
            </w:pPr>
            <w:r>
              <w:rPr>
                <w:rFonts w:ascii="Arial" w:hAnsi="Arial"/>
                <w:sz w:val="18"/>
              </w:rPr>
              <w:t>Thực hiện What-if simulation với điểm số do SV tự cung cấp</w:t>
            </w:r>
          </w:p>
        </w:tc>
        <w:tc>
          <w:tcPr>
            <w:tcW w:type="dxa" w:w="2448"/>
            <w:shd w:fill="F4F8FA"/>
            <w:tcMar>
              <w:top w:w="85" w:type="dxa"/>
              <w:bottom w:w="85" w:type="dxa"/>
              <w:left w:w="120" w:type="dxa"/>
              <w:right w:w="120" w:type="dxa"/>
            </w:tcMar>
          </w:tcPr>
          <w:p>
            <w:pPr>
              <w:spacing w:after="0" w:line="264" w:lineRule="auto"/>
            </w:pPr>
            <w:r>
              <w:rPr>
                <w:rFonts w:ascii="Arial" w:hAnsi="Arial"/>
                <w:sz w:val="18"/>
              </w:rPr>
              <w:t>Điều 15 QĐ 1175</w:t>
            </w:r>
          </w:p>
        </w:tc>
      </w:tr>
      <w:tr>
        <w:tc>
          <w:tcPr>
            <w:tcW w:type="dxa" w:w="2304"/>
            <w:shd w:fill="FFFFFF"/>
            <w:tcMar>
              <w:top w:w="85" w:type="dxa"/>
              <w:bottom w:w="85" w:type="dxa"/>
              <w:left w:w="120" w:type="dxa"/>
              <w:right w:w="120" w:type="dxa"/>
            </w:tcMar>
          </w:tcPr>
          <w:p>
            <w:pPr>
              <w:spacing w:after="0" w:line="264" w:lineRule="auto"/>
            </w:pPr>
            <w:r>
              <w:rPr>
                <w:rFonts w:ascii="Arial" w:hAnsi="Arial"/>
                <w:sz w:val="18"/>
              </w:rPr>
              <w:t>Xếp loại học lực</w:t>
            </w:r>
          </w:p>
        </w:tc>
        <w:tc>
          <w:tcPr>
            <w:tcW w:type="dxa" w:w="4608"/>
            <w:shd w:fill="FFFFFF"/>
            <w:tcMar>
              <w:top w:w="85" w:type="dxa"/>
              <w:bottom w:w="85" w:type="dxa"/>
              <w:left w:w="120" w:type="dxa"/>
              <w:right w:w="120" w:type="dxa"/>
            </w:tcMar>
          </w:tcPr>
          <w:p>
            <w:pPr>
              <w:spacing w:after="0" w:line="264" w:lineRule="auto"/>
            </w:pPr>
            <w:r>
              <w:rPr>
                <w:rFonts w:ascii="Arial" w:hAnsi="Arial"/>
                <w:sz w:val="18"/>
              </w:rPr>
              <w:t>Phân loại theo khóa K2021+ và K2020-; phân biệt điểm trung bình và điểm trung bình tích lũy</w:t>
            </w:r>
          </w:p>
        </w:tc>
        <w:tc>
          <w:tcPr>
            <w:tcW w:type="dxa" w:w="2448"/>
            <w:shd w:fill="FFFFFF"/>
            <w:tcMar>
              <w:top w:w="85" w:type="dxa"/>
              <w:bottom w:w="85" w:type="dxa"/>
              <w:left w:w="120" w:type="dxa"/>
              <w:right w:w="120" w:type="dxa"/>
            </w:tcMar>
          </w:tcPr>
          <w:p>
            <w:pPr>
              <w:spacing w:after="0" w:line="264" w:lineRule="auto"/>
            </w:pPr>
            <w:r>
              <w:rPr>
                <w:rFonts w:ascii="Arial" w:hAnsi="Arial"/>
                <w:sz w:val="18"/>
              </w:rPr>
              <w:t>Điều 15 QĐ 1175</w:t>
            </w:r>
          </w:p>
        </w:tc>
      </w:tr>
      <w:tr>
        <w:tc>
          <w:tcPr>
            <w:tcW w:type="dxa" w:w="2304"/>
            <w:shd w:fill="F4F8FA"/>
            <w:tcMar>
              <w:top w:w="85" w:type="dxa"/>
              <w:bottom w:w="85" w:type="dxa"/>
              <w:left w:w="120" w:type="dxa"/>
              <w:right w:w="120" w:type="dxa"/>
            </w:tcMar>
          </w:tcPr>
          <w:p>
            <w:pPr>
              <w:spacing w:after="0" w:line="264" w:lineRule="auto"/>
            </w:pPr>
            <w:r>
              <w:rPr>
                <w:rFonts w:ascii="Arial" w:hAnsi="Arial"/>
                <w:sz w:val="18"/>
              </w:rPr>
              <w:t>Cảnh báo học vụ</w:t>
            </w:r>
          </w:p>
        </w:tc>
        <w:tc>
          <w:tcPr>
            <w:tcW w:type="dxa" w:w="4608"/>
            <w:shd w:fill="F4F8FA"/>
            <w:tcMar>
              <w:top w:w="85" w:type="dxa"/>
              <w:bottom w:w="85" w:type="dxa"/>
              <w:left w:w="120" w:type="dxa"/>
              <w:right w:w="120" w:type="dxa"/>
            </w:tcMar>
          </w:tcPr>
          <w:p>
            <w:pPr>
              <w:spacing w:after="0" w:line="264" w:lineRule="auto"/>
            </w:pPr>
            <w:r>
              <w:rPr>
                <w:rFonts w:ascii="Arial" w:hAnsi="Arial"/>
                <w:sz w:val="18"/>
              </w:rPr>
              <w:t>Cảnh báo nguy cơ cảnh báo lần 1, lần 2, lần 3 (buộc thôi học); mô phỏng kịch bản thoát nguy</w:t>
            </w:r>
          </w:p>
        </w:tc>
        <w:tc>
          <w:tcPr>
            <w:tcW w:type="dxa" w:w="2448"/>
            <w:shd w:fill="F4F8FA"/>
            <w:tcMar>
              <w:top w:w="85" w:type="dxa"/>
              <w:bottom w:w="85" w:type="dxa"/>
              <w:left w:w="120" w:type="dxa"/>
              <w:right w:w="120" w:type="dxa"/>
            </w:tcMar>
          </w:tcPr>
          <w:p>
            <w:pPr>
              <w:spacing w:after="0" w:line="264" w:lineRule="auto"/>
            </w:pPr>
            <w:r>
              <w:rPr>
                <w:rFonts w:ascii="Arial" w:hAnsi="Arial"/>
                <w:sz w:val="18"/>
              </w:rPr>
              <w:t>Điều 16 QĐ 1175</w:t>
            </w:r>
          </w:p>
        </w:tc>
      </w:tr>
      <w:tr>
        <w:tc>
          <w:tcPr>
            <w:tcW w:type="dxa" w:w="2304"/>
            <w:shd w:fill="FFFFFF"/>
            <w:tcMar>
              <w:top w:w="85" w:type="dxa"/>
              <w:bottom w:w="85" w:type="dxa"/>
              <w:left w:w="120" w:type="dxa"/>
              <w:right w:w="120" w:type="dxa"/>
            </w:tcMar>
          </w:tcPr>
          <w:p>
            <w:pPr>
              <w:spacing w:after="0" w:line="264" w:lineRule="auto"/>
            </w:pPr>
            <w:r>
              <w:rPr>
                <w:rFonts w:ascii="Arial" w:hAnsi="Arial"/>
                <w:sz w:val="18"/>
              </w:rPr>
              <w:t>Điều kiện tốt nghiệp</w:t>
            </w:r>
          </w:p>
        </w:tc>
        <w:tc>
          <w:tcPr>
            <w:tcW w:type="dxa" w:w="4608"/>
            <w:shd w:fill="FFFFFF"/>
            <w:tcMar>
              <w:top w:w="85" w:type="dxa"/>
              <w:bottom w:w="85" w:type="dxa"/>
              <w:left w:w="120" w:type="dxa"/>
              <w:right w:w="120" w:type="dxa"/>
            </w:tcMar>
          </w:tcPr>
          <w:p>
            <w:pPr>
              <w:spacing w:after="0" w:line="264" w:lineRule="auto"/>
            </w:pPr>
            <w:r>
              <w:rPr>
                <w:rFonts w:ascii="Arial" w:hAnsi="Arial"/>
                <w:sz w:val="18"/>
              </w:rPr>
              <w:t>Kiểm tra 5 điều kiện: TC + GDQP + GDTC + Ngoại ngữ + Tin học; hạng tốt nghiệp</w:t>
            </w:r>
          </w:p>
        </w:tc>
        <w:tc>
          <w:tcPr>
            <w:tcW w:type="dxa" w:w="2448"/>
            <w:shd w:fill="FFFFFF"/>
            <w:tcMar>
              <w:top w:w="85" w:type="dxa"/>
              <w:bottom w:w="85" w:type="dxa"/>
              <w:left w:w="120" w:type="dxa"/>
              <w:right w:w="120" w:type="dxa"/>
            </w:tcMar>
          </w:tcPr>
          <w:p>
            <w:pPr>
              <w:spacing w:after="0" w:line="264" w:lineRule="auto"/>
            </w:pPr>
            <w:r>
              <w:rPr>
                <w:rFonts w:ascii="Arial" w:hAnsi="Arial"/>
                <w:sz w:val="18"/>
              </w:rPr>
              <w:t>Điều 17 QĐ 1175</w:t>
            </w:r>
          </w:p>
        </w:tc>
      </w:tr>
      <w:tr>
        <w:tc>
          <w:tcPr>
            <w:tcW w:type="dxa" w:w="2304"/>
            <w:shd w:fill="F4F8FA"/>
            <w:tcMar>
              <w:top w:w="85" w:type="dxa"/>
              <w:bottom w:w="85" w:type="dxa"/>
              <w:left w:w="120" w:type="dxa"/>
              <w:right w:w="120" w:type="dxa"/>
            </w:tcMar>
          </w:tcPr>
          <w:p>
            <w:pPr>
              <w:spacing w:after="0" w:line="264" w:lineRule="auto"/>
            </w:pPr>
            <w:r>
              <w:rPr>
                <w:rFonts w:ascii="Arial" w:hAnsi="Arial"/>
                <w:sz w:val="18"/>
              </w:rPr>
              <w:t>Điểm rèn luyện</w:t>
            </w:r>
          </w:p>
        </w:tc>
        <w:tc>
          <w:tcPr>
            <w:tcW w:type="dxa" w:w="4608"/>
            <w:shd w:fill="F4F8FA"/>
            <w:tcMar>
              <w:top w:w="85" w:type="dxa"/>
              <w:bottom w:w="85" w:type="dxa"/>
              <w:left w:w="120" w:type="dxa"/>
              <w:right w:w="120" w:type="dxa"/>
            </w:tcMar>
          </w:tcPr>
          <w:p>
            <w:pPr>
              <w:spacing w:after="0" w:line="264" w:lineRule="auto"/>
            </w:pPr>
            <w:r>
              <w:rPr>
                <w:rFonts w:ascii="Arial" w:hAnsi="Arial"/>
                <w:sz w:val="18"/>
              </w:rPr>
              <w:t>Giải thích thang 100 điểm, 5 tiêu chí, 13 chỉ số, mức phân loại Xuất sắc đến Kém</w:t>
            </w:r>
          </w:p>
        </w:tc>
        <w:tc>
          <w:tcPr>
            <w:tcW w:type="dxa" w:w="2448"/>
            <w:shd w:fill="F4F8FA"/>
            <w:tcMar>
              <w:top w:w="85" w:type="dxa"/>
              <w:bottom w:w="85" w:type="dxa"/>
              <w:left w:w="120" w:type="dxa"/>
              <w:right w:w="120" w:type="dxa"/>
            </w:tcMar>
          </w:tcPr>
          <w:p>
            <w:pPr>
              <w:spacing w:after="0" w:line="264" w:lineRule="auto"/>
            </w:pPr>
            <w:r>
              <w:rPr>
                <w:rFonts w:ascii="Arial" w:hAnsi="Arial"/>
                <w:sz w:val="18"/>
              </w:rPr>
              <w:t>Quy chế DRL HCMUS</w:t>
            </w:r>
          </w:p>
        </w:tc>
      </w:tr>
      <w:tr>
        <w:tc>
          <w:tcPr>
            <w:tcW w:type="dxa" w:w="2304"/>
            <w:shd w:fill="FFFFFF"/>
            <w:tcMar>
              <w:top w:w="85" w:type="dxa"/>
              <w:bottom w:w="85" w:type="dxa"/>
              <w:left w:w="120" w:type="dxa"/>
              <w:right w:w="120" w:type="dxa"/>
            </w:tcMar>
          </w:tcPr>
          <w:p>
            <w:pPr>
              <w:spacing w:after="0" w:line="264" w:lineRule="auto"/>
            </w:pPr>
            <w:r>
              <w:rPr>
                <w:rFonts w:ascii="Arial" w:hAnsi="Arial"/>
                <w:sz w:val="18"/>
              </w:rPr>
              <w:t>Học bổng khuyến khích</w:t>
            </w:r>
          </w:p>
        </w:tc>
        <w:tc>
          <w:tcPr>
            <w:tcW w:type="dxa" w:w="4608"/>
            <w:shd w:fill="FFFFFF"/>
            <w:tcMar>
              <w:top w:w="85" w:type="dxa"/>
              <w:bottom w:w="85" w:type="dxa"/>
              <w:left w:w="120" w:type="dxa"/>
              <w:right w:w="120" w:type="dxa"/>
            </w:tcMar>
          </w:tcPr>
          <w:p>
            <w:pPr>
              <w:spacing w:after="0" w:line="264" w:lineRule="auto"/>
            </w:pPr>
            <w:r>
              <w:rPr>
                <w:rFonts w:ascii="Arial" w:hAnsi="Arial"/>
                <w:sz w:val="18"/>
              </w:rPr>
              <w:t>Điều kiện GPA và DRL để xét học bổng khuyến khích học tập từng học kỳ</w:t>
            </w:r>
          </w:p>
        </w:tc>
        <w:tc>
          <w:tcPr>
            <w:tcW w:type="dxa" w:w="2448"/>
            <w:shd w:fill="FFFFFF"/>
            <w:tcMar>
              <w:top w:w="85" w:type="dxa"/>
              <w:bottom w:w="85" w:type="dxa"/>
              <w:left w:w="120" w:type="dxa"/>
              <w:right w:w="120" w:type="dxa"/>
            </w:tcMar>
          </w:tcPr>
          <w:p>
            <w:pPr>
              <w:spacing w:after="0" w:line="264" w:lineRule="auto"/>
            </w:pPr>
            <w:r>
              <w:rPr>
                <w:rFonts w:ascii="Arial" w:hAnsi="Arial"/>
                <w:sz w:val="18"/>
              </w:rPr>
              <w:t>Quy định học bổng</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