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003366"/>
          <w:sz w:val="36"/>
        </w:rPr>
        <w:t>CẨM NANG TRI THỨC HỌC BỔNG &amp; CHÍNH SÁCH HỖ TRỢ TÀI CHÍNH SINH VIÊN HCMUS</w:t>
      </w:r>
    </w:p>
    <w:p>
      <w:pPr>
        <w:jc w:val="center"/>
      </w:pPr>
      <w:r>
        <w:rPr>
          <w:rFonts w:ascii="Arial" w:hAnsi="Arial"/>
          <w:color w:val="646464"/>
          <w:sz w:val="20"/>
        </w:rPr>
        <w:t>TRƯỜNG ĐẠI HỌC KHOA HỌC TỰ NHIÊN - ĐHQG-HCM</w:t>
        <w:br/>
        <w:t>HỆ THỐNG TRỢ LÝ THÔNG MINH HCMUS SMART CAMPUS</w:t>
      </w:r>
    </w:p>
    <w:tbl>
      <w:tblPr>
        <w:tblW w:type="auto" w:w="0"/>
        <w:jc w:val="center"/>
        <w:tblLook w:firstColumn="1" w:firstRow="1" w:lastColumn="0" w:lastRow="0" w:noHBand="0" w:noVBand="1" w:val="04A0"/>
      </w:tblPr>
      <w:tblGrid>
        <w:gridCol w:w="9936"/>
      </w:tblGrid>
      <w:tr>
        <w:tc>
          <w:tcPr>
            <w:tcW w:type="dxa" w:w="9936"/>
            <w:shd w:val="clear" w:color="auto" w:fill="F0F4F8"/>
            <w:tcMar>
              <w:top w:w="120" w:type="dxa"/>
              <w:bottom w:w="120" w:type="dxa"/>
              <w:left w:w="180" w:type="dxa"/>
              <w:right w:w="180" w:type="dxa"/>
            </w:tcMar>
          </w:tcPr>
          <w:p>
            <w:pPr>
              <w:spacing w:before="40" w:after="40"/>
            </w:pPr>
            <w:r>
              <w:rPr>
                <w:rFonts w:ascii="Arial" w:hAnsi="Arial"/>
                <w:b/>
                <w:color w:val="003366"/>
                <w:sz w:val="19"/>
              </w:rPr>
              <w:t xml:space="preserve">📌 MỤC TIÊU &amp; PHẠM VI NGHIỆP VỤ AGENT: </w:t>
            </w:r>
            <w:r>
              <w:rPr>
                <w:rFonts w:ascii="Arial" w:hAnsi="Arial"/>
                <w:color w:val="323232"/>
                <w:sz w:val="19"/>
              </w:rPr>
              <w:t>Tài liệu cơ sở tri thức chính thức dành riêng cho Scholarship Matching Agent - Trợ lý Khớp nối Học bổng, Miễn giảm học phí và Chính sách Hỗ trợ Tài chính tại Trường Đại học Khoa học Tự nhiên, ĐHQG-HCM. Tập trung chuyên sâu vào Học bổng Khuyến khích học tập (KKHT), danh mục 20+ học bổng tài trợ doanh nghiệp - quốc tế, chính sách miễn giảm học phí Nghị định 81, trợ cấp xã hội, vay vốn tín dụng sinh viên VBSP, quy trình xét học bổng 7 bước, hướng dẫn xin Thư giới thiệu (LoR), bí quyết viết SoP phỏng vấn và giải đáp 10 câu hỏi thực chiến.</w:t>
            </w:r>
          </w:p>
        </w:tc>
      </w:tr>
    </w:tbl>
    <w:p>
      <w:pPr>
        <w:spacing w:before="0" w:after="40"/>
      </w:pPr>
    </w:p>
    <w:p>
      <w:pPr>
        <w:keepNext/>
        <w:spacing w:before="280" w:after="80"/>
      </w:pPr>
      <w:r>
        <w:rPr>
          <w:rFonts w:ascii="Arial" w:hAnsi="Arial"/>
          <w:b/>
          <w:color w:val="003366"/>
          <w:sz w:val="26"/>
        </w:rPr>
        <w:t>PHẦN 1: HỌC BỔNG KHUYẾN KHÍCH HỌC TẬP (KKHT - CĂN CỨ NGHỊ ĐỊNH 84/2020/NĐ-CP)</w:t>
      </w:r>
    </w:p>
    <w:p>
      <w:pPr>
        <w:spacing w:before="40" w:after="60" w:line="276" w:lineRule="auto"/>
      </w:pPr>
      <w:r>
        <w:rPr>
          <w:rFonts w:ascii="Arial" w:hAnsi="Arial"/>
          <w:b/>
          <w:color w:val="1E1E1E"/>
          <w:sz w:val="20"/>
        </w:rPr>
        <w:t xml:space="preserve">1. Nguyên tắc trích lập &amp; phạm vi áp dụng: </w:t>
      </w:r>
      <w:r>
        <w:rPr>
          <w:rFonts w:ascii="Arial" w:hAnsi="Arial"/>
          <w:color w:val="282828"/>
          <w:sz w:val="20"/>
        </w:rPr>
        <w:t>Học bổng Khuyến khích học tập (KKHT) là nguồn tài chính chính thức do Nhà trường trích lập từ nguồn thu học phí hợp pháp (tối thiểu 8% tổng nguồn thu học phí hệ chính quy) để trao tặng cho những sinh viên có kết quả học tập và rèn luyện xuất sắc trong từng học kỳ chính (Học kỳ 1 và Học kỳ 2). Học kỳ hè không xét học bổng KKHT.</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160"/>
            <w:shd w:val="clear" w:color="auto" w:fill="003366"/>
            <w:tcMar>
              <w:top w:w="100" w:type="dxa"/>
              <w:bottom w:w="100" w:type="dxa"/>
              <w:left w:w="120" w:type="dxa"/>
              <w:right w:w="120" w:type="dxa"/>
            </w:tcMar>
          </w:tcPr>
          <w:p>
            <w:pPr>
              <w:jc w:val="center"/>
            </w:pPr>
            <w:r>
              <w:rPr>
                <w:rFonts w:ascii="Arial" w:hAnsi="Arial"/>
                <w:b/>
                <w:color w:val="FFFFFF"/>
                <w:sz w:val="19"/>
              </w:rPr>
              <w:t>Hạng Học Bổng KKHT</w:t>
            </w:r>
          </w:p>
        </w:tc>
        <w:tc>
          <w:tcPr>
            <w:tcW w:type="dxa" w:w="2160"/>
            <w:shd w:val="clear" w:color="auto" w:fill="003366"/>
            <w:tcMar>
              <w:top w:w="100" w:type="dxa"/>
              <w:bottom w:w="100" w:type="dxa"/>
              <w:left w:w="120" w:type="dxa"/>
              <w:right w:w="120" w:type="dxa"/>
            </w:tcMar>
          </w:tcPr>
          <w:p>
            <w:pPr>
              <w:jc w:val="center"/>
            </w:pPr>
            <w:r>
              <w:rPr>
                <w:rFonts w:ascii="Arial" w:hAnsi="Arial"/>
                <w:b/>
                <w:color w:val="FFFFFF"/>
                <w:sz w:val="19"/>
              </w:rPr>
              <w:t>Tiêu Chuẩn Điểm GPA (Thang 4)</w:t>
            </w:r>
          </w:p>
        </w:tc>
        <w:tc>
          <w:tcPr>
            <w:tcW w:type="dxa" w:w="2160"/>
            <w:shd w:val="clear" w:color="auto" w:fill="003366"/>
            <w:tcMar>
              <w:top w:w="100" w:type="dxa"/>
              <w:bottom w:w="100" w:type="dxa"/>
              <w:left w:w="120" w:type="dxa"/>
              <w:right w:w="120" w:type="dxa"/>
            </w:tcMar>
          </w:tcPr>
          <w:p>
            <w:pPr>
              <w:jc w:val="center"/>
            </w:pPr>
            <w:r>
              <w:rPr>
                <w:rFonts w:ascii="Arial" w:hAnsi="Arial"/>
                <w:b/>
                <w:color w:val="FFFFFF"/>
                <w:sz w:val="19"/>
              </w:rPr>
              <w:t>Tiêu Chuẩn Điểm Rèn Luyện (ĐRL)</w:t>
            </w:r>
          </w:p>
        </w:tc>
        <w:tc>
          <w:tcPr>
            <w:tcW w:type="dxa" w:w="3456"/>
            <w:shd w:val="clear" w:color="auto" w:fill="003366"/>
            <w:tcMar>
              <w:top w:w="100" w:type="dxa"/>
              <w:bottom w:w="100" w:type="dxa"/>
              <w:left w:w="120" w:type="dxa"/>
              <w:right w:w="120" w:type="dxa"/>
            </w:tcMar>
          </w:tcPr>
          <w:p>
            <w:pPr>
              <w:jc w:val="center"/>
            </w:pPr>
            <w:r>
              <w:rPr>
                <w:rFonts w:ascii="Arial" w:hAnsi="Arial"/>
                <w:b/>
                <w:color w:val="FFFFFF"/>
                <w:sz w:val="19"/>
              </w:rPr>
              <w:t>Mức Thưởng Học Bổng Cấp Cho Sinh Viên</w:t>
            </w:r>
          </w:p>
        </w:tc>
        <w:tc>
          <w:tcPr>
            <w:tcW w:type="dxa" w:w="3024"/>
            <w:shd w:val="clear" w:color="auto" w:fill="003366"/>
            <w:tcMar>
              <w:top w:w="100" w:type="dxa"/>
              <w:bottom w:w="100" w:type="dxa"/>
              <w:left w:w="120" w:type="dxa"/>
              <w:right w:w="120" w:type="dxa"/>
            </w:tcMar>
          </w:tcPr>
          <w:p>
            <w:pPr>
              <w:jc w:val="center"/>
            </w:pPr>
            <w:r>
              <w:rPr>
                <w:rFonts w:ascii="Arial" w:hAnsi="Arial"/>
                <w:b/>
                <w:color w:val="FFFFFF"/>
                <w:sz w:val="19"/>
              </w:rPr>
              <w:t>Quy Định Ràng Buộc Bổ Sung</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Học Bổng Loại Xuất Sắc</w:t>
            </w:r>
          </w:p>
        </w:tc>
        <w:tc>
          <w:tcPr>
            <w:tcW w:type="dxa" w:w="2160"/>
            <w:shd w:val="clear" w:color="auto" w:fill="FFFFFF"/>
            <w:tcMar>
              <w:top w:w="80" w:type="dxa"/>
              <w:bottom w:w="80" w:type="dxa"/>
              <w:left w:w="100" w:type="dxa"/>
              <w:right w:w="100" w:type="dxa"/>
            </w:tcMar>
          </w:tcPr>
          <w:p>
            <w:pPr>
              <w:jc w:val="left"/>
            </w:pPr>
            <w:r>
              <w:rPr>
                <w:rFonts w:ascii="Arial" w:hAnsi="Arial"/>
                <w:color w:val="282828"/>
                <w:sz w:val="18"/>
              </w:rPr>
              <w:t>GPA ≥ 3.60 (hoặc ≥ 9.0 thang 10)</w:t>
            </w:r>
          </w:p>
        </w:tc>
        <w:tc>
          <w:tcPr>
            <w:tcW w:type="dxa" w:w="2160"/>
            <w:shd w:val="clear" w:color="auto" w:fill="FFFFFF"/>
            <w:tcMar>
              <w:top w:w="80" w:type="dxa"/>
              <w:bottom w:w="80" w:type="dxa"/>
              <w:left w:w="100" w:type="dxa"/>
              <w:right w:w="100" w:type="dxa"/>
            </w:tcMar>
          </w:tcPr>
          <w:p>
            <w:pPr>
              <w:jc w:val="left"/>
            </w:pPr>
            <w:r>
              <w:rPr>
                <w:rFonts w:ascii="Arial" w:hAnsi="Arial"/>
                <w:color w:val="282828"/>
                <w:sz w:val="18"/>
              </w:rPr>
              <w:t>ĐRL ≥ 90 điểm (Xếp loại Xuất sắc)</w:t>
            </w:r>
          </w:p>
        </w:tc>
        <w:tc>
          <w:tcPr>
            <w:tcW w:type="dxa" w:w="3456"/>
            <w:shd w:val="clear" w:color="auto" w:fill="FFFFFF"/>
            <w:tcMar>
              <w:top w:w="80" w:type="dxa"/>
              <w:bottom w:w="80" w:type="dxa"/>
              <w:left w:w="100" w:type="dxa"/>
              <w:right w:w="100" w:type="dxa"/>
            </w:tcMar>
          </w:tcPr>
          <w:p>
            <w:pPr>
              <w:jc w:val="left"/>
            </w:pPr>
            <w:r>
              <w:rPr>
                <w:rFonts w:ascii="Arial" w:hAnsi="Arial"/>
                <w:color w:val="282828"/>
                <w:sz w:val="18"/>
              </w:rPr>
              <w:t>Bằng hoặc cao hơn 120% mức trần học phí của ngành học trong học kỳ</w:t>
            </w:r>
          </w:p>
        </w:tc>
        <w:tc>
          <w:tcPr>
            <w:tcW w:type="dxa" w:w="3024"/>
            <w:shd w:val="clear" w:color="auto" w:fill="FFFFFF"/>
            <w:tcMar>
              <w:top w:w="80" w:type="dxa"/>
              <w:bottom w:w="80" w:type="dxa"/>
              <w:left w:w="100" w:type="dxa"/>
              <w:right w:w="100" w:type="dxa"/>
            </w:tcMar>
          </w:tcPr>
          <w:p>
            <w:pPr>
              <w:jc w:val="left"/>
            </w:pPr>
            <w:r>
              <w:rPr>
                <w:rFonts w:ascii="Arial" w:hAnsi="Arial"/>
                <w:color w:val="282828"/>
                <w:sz w:val="18"/>
              </w:rPr>
              <w:t>Không có môn nào bị điểm F; không bị kỷ luật từ mức khiển trách.</w:t>
            </w:r>
          </w:p>
        </w:tc>
      </w:tr>
      <w:tr>
        <w:tc>
          <w:tcPr>
            <w:tcW w:type="dxa" w:w="2160"/>
            <w:shd w:val="clear" w:color="auto" w:fill="F9FBFC"/>
            <w:tcMar>
              <w:top w:w="80" w:type="dxa"/>
              <w:bottom w:w="80" w:type="dxa"/>
              <w:left w:w="100" w:type="dxa"/>
              <w:right w:w="100" w:type="dxa"/>
            </w:tcMar>
          </w:tcPr>
          <w:p>
            <w:pPr>
              <w:jc w:val="center"/>
            </w:pPr>
            <w:r>
              <w:rPr>
                <w:rFonts w:ascii="Arial" w:hAnsi="Arial"/>
                <w:color w:val="282828"/>
                <w:sz w:val="18"/>
              </w:rPr>
              <w:t>Học Bổng Loại Giỏi</w:t>
            </w:r>
          </w:p>
        </w:tc>
        <w:tc>
          <w:tcPr>
            <w:tcW w:type="dxa" w:w="2160"/>
            <w:shd w:val="clear" w:color="auto" w:fill="F9FBFC"/>
            <w:tcMar>
              <w:top w:w="80" w:type="dxa"/>
              <w:bottom w:w="80" w:type="dxa"/>
              <w:left w:w="100" w:type="dxa"/>
              <w:right w:w="100" w:type="dxa"/>
            </w:tcMar>
          </w:tcPr>
          <w:p>
            <w:pPr>
              <w:jc w:val="left"/>
            </w:pPr>
            <w:r>
              <w:rPr>
                <w:rFonts w:ascii="Arial" w:hAnsi="Arial"/>
                <w:color w:val="282828"/>
                <w:sz w:val="18"/>
              </w:rPr>
              <w:t>GPA ≥ 3.20 (hoặc ≥ 8.0 thang 10)</w:t>
            </w:r>
          </w:p>
        </w:tc>
        <w:tc>
          <w:tcPr>
            <w:tcW w:type="dxa" w:w="2160"/>
            <w:shd w:val="clear" w:color="auto" w:fill="F9FBFC"/>
            <w:tcMar>
              <w:top w:w="80" w:type="dxa"/>
              <w:bottom w:w="80" w:type="dxa"/>
              <w:left w:w="100" w:type="dxa"/>
              <w:right w:w="100" w:type="dxa"/>
            </w:tcMar>
          </w:tcPr>
          <w:p>
            <w:pPr>
              <w:jc w:val="left"/>
            </w:pPr>
            <w:r>
              <w:rPr>
                <w:rFonts w:ascii="Arial" w:hAnsi="Arial"/>
                <w:color w:val="282828"/>
                <w:sz w:val="18"/>
              </w:rPr>
              <w:t>ĐRL ≥ 80 điểm (Xếp loại Tốt)</w:t>
            </w:r>
          </w:p>
        </w:tc>
        <w:tc>
          <w:tcPr>
            <w:tcW w:type="dxa" w:w="3456"/>
            <w:shd w:val="clear" w:color="auto" w:fill="F9FBFC"/>
            <w:tcMar>
              <w:top w:w="80" w:type="dxa"/>
              <w:bottom w:w="80" w:type="dxa"/>
              <w:left w:w="100" w:type="dxa"/>
              <w:right w:w="100" w:type="dxa"/>
            </w:tcMar>
          </w:tcPr>
          <w:p>
            <w:pPr>
              <w:jc w:val="left"/>
            </w:pPr>
            <w:r>
              <w:rPr>
                <w:rFonts w:ascii="Arial" w:hAnsi="Arial"/>
                <w:color w:val="282828"/>
                <w:sz w:val="18"/>
              </w:rPr>
              <w:t>Bằng hoặc cao hơn 105% - 110% mức học phí của ngành trong kỳ</w:t>
            </w:r>
          </w:p>
        </w:tc>
        <w:tc>
          <w:tcPr>
            <w:tcW w:type="dxa" w:w="3024"/>
            <w:shd w:val="clear" w:color="auto" w:fill="F9FBFC"/>
            <w:tcMar>
              <w:top w:w="80" w:type="dxa"/>
              <w:bottom w:w="80" w:type="dxa"/>
              <w:left w:w="100" w:type="dxa"/>
              <w:right w:w="100" w:type="dxa"/>
            </w:tcMar>
          </w:tcPr>
          <w:p>
            <w:pPr>
              <w:jc w:val="left"/>
            </w:pPr>
            <w:r>
              <w:rPr>
                <w:rFonts w:ascii="Arial" w:hAnsi="Arial"/>
                <w:color w:val="282828"/>
                <w:sz w:val="18"/>
              </w:rPr>
              <w:t>Không có môn nào bị điểm F trong học kỳ xét học bổng.</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Học Bổng Loại Khá</w:t>
            </w:r>
          </w:p>
        </w:tc>
        <w:tc>
          <w:tcPr>
            <w:tcW w:type="dxa" w:w="2160"/>
            <w:shd w:val="clear" w:color="auto" w:fill="FFFFFF"/>
            <w:tcMar>
              <w:top w:w="80" w:type="dxa"/>
              <w:bottom w:w="80" w:type="dxa"/>
              <w:left w:w="100" w:type="dxa"/>
              <w:right w:w="100" w:type="dxa"/>
            </w:tcMar>
          </w:tcPr>
          <w:p>
            <w:pPr>
              <w:jc w:val="left"/>
            </w:pPr>
            <w:r>
              <w:rPr>
                <w:rFonts w:ascii="Arial" w:hAnsi="Arial"/>
                <w:color w:val="282828"/>
                <w:sz w:val="18"/>
              </w:rPr>
              <w:t>GPA ≥ 2.50 (hoặc ≥ 7.0 thang 10)</w:t>
            </w:r>
          </w:p>
        </w:tc>
        <w:tc>
          <w:tcPr>
            <w:tcW w:type="dxa" w:w="2160"/>
            <w:shd w:val="clear" w:color="auto" w:fill="FFFFFF"/>
            <w:tcMar>
              <w:top w:w="80" w:type="dxa"/>
              <w:bottom w:w="80" w:type="dxa"/>
              <w:left w:w="100" w:type="dxa"/>
              <w:right w:w="100" w:type="dxa"/>
            </w:tcMar>
          </w:tcPr>
          <w:p>
            <w:pPr>
              <w:jc w:val="left"/>
            </w:pPr>
            <w:r>
              <w:rPr>
                <w:rFonts w:ascii="Arial" w:hAnsi="Arial"/>
                <w:color w:val="282828"/>
                <w:sz w:val="18"/>
              </w:rPr>
              <w:t>ĐRL ≥ 70 điểm (Xếp loại Khá/Tốt)</w:t>
            </w:r>
          </w:p>
        </w:tc>
        <w:tc>
          <w:tcPr>
            <w:tcW w:type="dxa" w:w="3456"/>
            <w:shd w:val="clear" w:color="auto" w:fill="FFFFFF"/>
            <w:tcMar>
              <w:top w:w="80" w:type="dxa"/>
              <w:bottom w:w="80" w:type="dxa"/>
              <w:left w:w="100" w:type="dxa"/>
              <w:right w:w="100" w:type="dxa"/>
            </w:tcMar>
          </w:tcPr>
          <w:p>
            <w:pPr>
              <w:jc w:val="left"/>
            </w:pPr>
            <w:r>
              <w:rPr>
                <w:rFonts w:ascii="Arial" w:hAnsi="Arial"/>
                <w:color w:val="282828"/>
                <w:sz w:val="18"/>
              </w:rPr>
              <w:t>Bằng 100% mức học phí học kỳ của ngành tương ứng</w:t>
            </w:r>
          </w:p>
        </w:tc>
        <w:tc>
          <w:tcPr>
            <w:tcW w:type="dxa" w:w="3024"/>
            <w:shd w:val="clear" w:color="auto" w:fill="FFFFFF"/>
            <w:tcMar>
              <w:top w:w="80" w:type="dxa"/>
              <w:bottom w:w="80" w:type="dxa"/>
              <w:left w:w="100" w:type="dxa"/>
              <w:right w:w="100" w:type="dxa"/>
            </w:tcMar>
          </w:tcPr>
          <w:p>
            <w:pPr>
              <w:jc w:val="left"/>
            </w:pPr>
            <w:r>
              <w:rPr>
                <w:rFonts w:ascii="Arial" w:hAnsi="Arial"/>
                <w:color w:val="282828"/>
                <w:sz w:val="18"/>
              </w:rPr>
              <w:t>Xét theo thứ tự từ cao xuống thấp cho đến hết quỹ kinh phí phân bổ.</w:t>
            </w:r>
          </w:p>
        </w:tc>
      </w:tr>
    </w:tbl>
    <w:p>
      <w:pPr>
        <w:spacing w:before="0" w:after="80"/>
      </w:pPr>
    </w:p>
    <w:p>
      <w:pPr>
        <w:keepNext/>
        <w:spacing w:before="200" w:after="60"/>
      </w:pPr>
      <w:r>
        <w:rPr>
          <w:rFonts w:ascii="Arial" w:hAnsi="Arial"/>
          <w:b/>
          <w:color w:val="006699"/>
          <w:sz w:val="23"/>
        </w:rPr>
        <w:t>Quy Trình &amp; Nguyên Tắc Phân Bổ Ngân Sách KKHT</w:t>
      </w:r>
    </w:p>
    <w:p>
      <w:pPr>
        <w:pStyle w:val="ListBullet"/>
        <w:spacing w:before="20" w:after="40" w:line="276" w:lineRule="auto"/>
      </w:pPr>
      <w:r>
        <w:rPr>
          <w:rFonts w:ascii="Arial" w:hAnsi="Arial"/>
          <w:b/>
          <w:color w:val="1E1E1E"/>
          <w:sz w:val="20"/>
        </w:rPr>
        <w:t xml:space="preserve">1. </w:t>
      </w:r>
      <w:r>
        <w:rPr>
          <w:rFonts w:ascii="Arial" w:hAnsi="Arial"/>
          <w:color w:val="282828"/>
          <w:sz w:val="20"/>
        </w:rPr>
        <w:t>Quỹ học bổng KKHT được phân bổ về từng Khoa căn cứ trên tỷ lệ số lượng sinh viên đang theo học thực tế tại thời điểm xét.</w:t>
      </w:r>
    </w:p>
    <w:p>
      <w:pPr>
        <w:pStyle w:val="ListBullet"/>
        <w:spacing w:before="20" w:after="40" w:line="276" w:lineRule="auto"/>
      </w:pPr>
      <w:r>
        <w:rPr>
          <w:rFonts w:ascii="Arial" w:hAnsi="Arial"/>
          <w:b/>
          <w:color w:val="1E1E1E"/>
          <w:sz w:val="20"/>
        </w:rPr>
        <w:t xml:space="preserve">2. </w:t>
      </w:r>
      <w:r>
        <w:rPr>
          <w:rFonts w:ascii="Arial" w:hAnsi="Arial"/>
          <w:color w:val="282828"/>
          <w:sz w:val="20"/>
        </w:rPr>
        <w:t>Trong mỗi Khoa, quỹ học bổng tiếp tục được chia theo từng khóa và từng ngành học cụ thể.</w:t>
      </w:r>
    </w:p>
    <w:p>
      <w:pPr>
        <w:pStyle w:val="ListBullet"/>
        <w:spacing w:before="20" w:after="40" w:line="276" w:lineRule="auto"/>
      </w:pPr>
      <w:r>
        <w:rPr>
          <w:rFonts w:ascii="Arial" w:hAnsi="Arial"/>
          <w:b/>
          <w:color w:val="1E1E1E"/>
          <w:sz w:val="20"/>
        </w:rPr>
        <w:t xml:space="preserve">3. </w:t>
      </w:r>
      <w:r>
        <w:rPr>
          <w:rFonts w:ascii="Arial" w:hAnsi="Arial"/>
          <w:color w:val="282828"/>
          <w:sz w:val="20"/>
        </w:rPr>
        <w:t>Điểm xét học bổng được lấy từ sinh viên có điểm GPA cao nhất trở xuống, nếu điểm GPA bằng nhau sẽ xét ưu tiên sinh viên có Điểm Rèn Luyện cao hơn.</w:t>
      </w:r>
    </w:p>
    <w:p>
      <w:pPr>
        <w:pStyle w:val="ListBullet"/>
        <w:spacing w:before="20" w:after="40" w:line="276" w:lineRule="auto"/>
      </w:pPr>
      <w:r>
        <w:rPr>
          <w:rFonts w:ascii="Arial" w:hAnsi="Arial"/>
          <w:b/>
          <w:color w:val="1E1E1E"/>
          <w:sz w:val="20"/>
        </w:rPr>
        <w:t xml:space="preserve">4. </w:t>
      </w:r>
      <w:r>
        <w:rPr>
          <w:rFonts w:ascii="Arial" w:hAnsi="Arial"/>
          <w:color w:val="282828"/>
          <w:sz w:val="20"/>
        </w:rPr>
        <w:t>Thời gian xét và công bố: Sau khi kết thúc thời hạn thi và có điểm chính thức của học kỳ khoảng 45 đến 60 ngày. Tiền học bổng được chuyển khoản trực tiếp vào tài khoản ngân hàng của sinh viên đã đăng ký với Phòng Kế hoạch - Tài chính.</w:t>
      </w:r>
    </w:p>
    <w:p>
      <w:pPr>
        <w:keepNext/>
        <w:spacing w:before="280" w:after="80"/>
      </w:pPr>
      <w:r>
        <w:rPr>
          <w:rFonts w:ascii="Arial" w:hAnsi="Arial"/>
          <w:b/>
          <w:color w:val="003366"/>
          <w:sz w:val="26"/>
        </w:rPr>
        <w:t>PHẦN 2: DANH MỤC 20+ HỌC BỔNG DOANH NGHIỆP &amp; TỔ CHỨC QUỐC TẾ THƯỜNG NIÊN</w:t>
      </w:r>
    </w:p>
    <w:p>
      <w:pPr>
        <w:spacing w:before="40" w:after="60" w:line="276" w:lineRule="auto"/>
      </w:pPr>
      <w:r>
        <w:rPr>
          <w:rFonts w:ascii="Arial" w:hAnsi="Arial"/>
          <w:color w:val="282828"/>
          <w:sz w:val="20"/>
        </w:rPr>
        <w:t>Hàng năm, HCMUS liên kết với hàng chục tập đoàn kinh tế, quỹ tài trợ phi chính phủ và các trường đại học quốc tế trao tặng hàng trăm suất học bổng giá trị cao:</w:t>
      </w:r>
    </w:p>
    <w:tbl>
      <w:tblPr>
        <w:tblW w:type="auto" w:w="0"/>
        <w:jc w:val="center"/>
        <w:tblLayout w:type="fixed"/>
        <w:tblLook w:firstColumn="1" w:firstRow="1" w:lastColumn="0" w:lastRow="0" w:noHBand="0" w:noVBand="1" w:val="04A0"/>
      </w:tblPr>
      <w:tblGrid>
        <w:gridCol w:w="1987"/>
        <w:gridCol w:w="1987"/>
        <w:gridCol w:w="1987"/>
        <w:gridCol w:w="1987"/>
        <w:gridCol w:w="1987"/>
      </w:tblGrid>
      <w:tr>
        <w:tc>
          <w:tcPr>
            <w:tcW w:type="dxa" w:w="2160"/>
            <w:shd w:val="clear" w:color="auto" w:fill="003366"/>
            <w:tcMar>
              <w:top w:w="100" w:type="dxa"/>
              <w:bottom w:w="100" w:type="dxa"/>
              <w:left w:w="120" w:type="dxa"/>
              <w:right w:w="120" w:type="dxa"/>
            </w:tcMar>
          </w:tcPr>
          <w:p>
            <w:pPr>
              <w:jc w:val="center"/>
            </w:pPr>
            <w:r>
              <w:rPr>
                <w:rFonts w:ascii="Arial" w:hAnsi="Arial"/>
                <w:b/>
                <w:color w:val="FFFFFF"/>
                <w:sz w:val="19"/>
              </w:rPr>
              <w:t>Tên Quỹ Học Bổng</w:t>
            </w:r>
          </w:p>
        </w:tc>
        <w:tc>
          <w:tcPr>
            <w:tcW w:type="dxa" w:w="2304"/>
            <w:shd w:val="clear" w:color="auto" w:fill="003366"/>
            <w:tcMar>
              <w:top w:w="100" w:type="dxa"/>
              <w:bottom w:w="100" w:type="dxa"/>
              <w:left w:w="120" w:type="dxa"/>
              <w:right w:w="120" w:type="dxa"/>
            </w:tcMar>
          </w:tcPr>
          <w:p>
            <w:pPr>
              <w:jc w:val="center"/>
            </w:pPr>
            <w:r>
              <w:rPr>
                <w:rFonts w:ascii="Arial" w:hAnsi="Arial"/>
                <w:b/>
                <w:color w:val="FFFFFF"/>
                <w:sz w:val="19"/>
              </w:rPr>
              <w:t>Quốc Gia / Nhà Tài Trợ</w:t>
            </w:r>
          </w:p>
        </w:tc>
        <w:tc>
          <w:tcPr>
            <w:tcW w:type="dxa" w:w="2304"/>
            <w:shd w:val="clear" w:color="auto" w:fill="003366"/>
            <w:tcMar>
              <w:top w:w="100" w:type="dxa"/>
              <w:bottom w:w="100" w:type="dxa"/>
              <w:left w:w="120" w:type="dxa"/>
              <w:right w:w="120" w:type="dxa"/>
            </w:tcMar>
          </w:tcPr>
          <w:p>
            <w:pPr>
              <w:jc w:val="center"/>
            </w:pPr>
            <w:r>
              <w:rPr>
                <w:rFonts w:ascii="Arial" w:hAnsi="Arial"/>
                <w:b/>
                <w:color w:val="FFFFFF"/>
                <w:sz w:val="19"/>
              </w:rPr>
              <w:t>Trị Giá Suất Học Bổng</w:t>
            </w:r>
          </w:p>
        </w:tc>
        <w:tc>
          <w:tcPr>
            <w:tcW w:type="dxa" w:w="3888"/>
            <w:shd w:val="clear" w:color="auto" w:fill="003366"/>
            <w:tcMar>
              <w:top w:w="100" w:type="dxa"/>
              <w:bottom w:w="100" w:type="dxa"/>
              <w:left w:w="120" w:type="dxa"/>
              <w:right w:w="120" w:type="dxa"/>
            </w:tcMar>
          </w:tcPr>
          <w:p>
            <w:pPr>
              <w:jc w:val="center"/>
            </w:pPr>
            <w:r>
              <w:rPr>
                <w:rFonts w:ascii="Arial" w:hAnsi="Arial"/>
                <w:b/>
                <w:color w:val="FFFFFF"/>
                <w:sz w:val="19"/>
              </w:rPr>
              <w:t>Đối Tượng &amp; Tiêu Chí Tuyển Chọn Cốt Lõi</w:t>
            </w:r>
          </w:p>
        </w:tc>
        <w:tc>
          <w:tcPr>
            <w:tcW w:type="dxa" w:w="2304"/>
            <w:shd w:val="clear" w:color="auto" w:fill="003366"/>
            <w:tcMar>
              <w:top w:w="100" w:type="dxa"/>
              <w:bottom w:w="100" w:type="dxa"/>
              <w:left w:w="120" w:type="dxa"/>
              <w:right w:w="120" w:type="dxa"/>
            </w:tcMar>
          </w:tcPr>
          <w:p>
            <w:pPr>
              <w:jc w:val="center"/>
            </w:pPr>
            <w:r>
              <w:rPr>
                <w:rFonts w:ascii="Arial" w:hAnsi="Arial"/>
                <w:b/>
                <w:color w:val="FFFFFF"/>
                <w:sz w:val="19"/>
              </w:rPr>
              <w:t>Thời Gian Mở Đơn</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Học bổng Hessen</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Bộ Khoa học &amp; Nghệ thuật Bang Hessen (Đức)</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216 Euro / kỳ (~5.500.000 VNĐ)</w:t>
            </w:r>
          </w:p>
        </w:tc>
        <w:tc>
          <w:tcPr>
            <w:tcW w:type="dxa" w:w="3888"/>
            <w:shd w:val="clear" w:color="auto" w:fill="FFFFFF"/>
            <w:tcMar>
              <w:top w:w="80" w:type="dxa"/>
              <w:bottom w:w="80" w:type="dxa"/>
              <w:left w:w="100" w:type="dxa"/>
              <w:right w:w="100" w:type="dxa"/>
            </w:tcMar>
          </w:tcPr>
          <w:p>
            <w:pPr>
              <w:jc w:val="left"/>
            </w:pPr>
            <w:r>
              <w:rPr>
                <w:rFonts w:ascii="Arial" w:hAnsi="Arial"/>
                <w:color w:val="282828"/>
                <w:sz w:val="18"/>
              </w:rPr>
              <w:t>Sinh viên học lực Giỏi trở lên, có hoàn cảnh gia đình khó khăn, tích cực công tác xã hội.</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Tháng 9 - 10 hàng năm</w:t>
            </w:r>
          </w:p>
        </w:tc>
      </w:tr>
      <w:tr>
        <w:tc>
          <w:tcPr>
            <w:tcW w:type="dxa" w:w="2160"/>
            <w:shd w:val="clear" w:color="auto" w:fill="F9FBFC"/>
            <w:tcMar>
              <w:top w:w="80" w:type="dxa"/>
              <w:bottom w:w="80" w:type="dxa"/>
              <w:left w:w="100" w:type="dxa"/>
              <w:right w:w="100" w:type="dxa"/>
            </w:tcMar>
          </w:tcPr>
          <w:p>
            <w:pPr>
              <w:jc w:val="center"/>
            </w:pPr>
            <w:r>
              <w:rPr>
                <w:rFonts w:ascii="Arial" w:hAnsi="Arial"/>
                <w:color w:val="282828"/>
                <w:sz w:val="18"/>
              </w:rPr>
              <w:t>Học bổng Pony Chung</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Tập đoàn Hyundai (Hàn Quốc)</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600 USD / suất (~14.500.000 VNĐ)</w:t>
            </w:r>
          </w:p>
        </w:tc>
        <w:tc>
          <w:tcPr>
            <w:tcW w:type="dxa" w:w="3888"/>
            <w:shd w:val="clear" w:color="auto" w:fill="F9FBFC"/>
            <w:tcMar>
              <w:top w:w="80" w:type="dxa"/>
              <w:bottom w:w="80" w:type="dxa"/>
              <w:left w:w="100" w:type="dxa"/>
              <w:right w:w="100" w:type="dxa"/>
            </w:tcMar>
          </w:tcPr>
          <w:p>
            <w:pPr>
              <w:jc w:val="left"/>
            </w:pPr>
            <w:r>
              <w:rPr>
                <w:rFonts w:ascii="Arial" w:hAnsi="Arial"/>
                <w:color w:val="282828"/>
                <w:sz w:val="18"/>
              </w:rPr>
              <w:t>Sinh viên năm 3, 4; CPA ≥ 3.20; ĐRL ≥ 85; khả năng tiếng Anh lưu loát; ưu tiên NCKH.</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Tháng 9 hàng năm</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Học bổng Vallet</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Tổ chức Khoa học Gặp gỡ Việt Nam (GS. Odon Vallet)</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14.000.000 - 20.000.000 VNĐ</w:t>
            </w:r>
          </w:p>
        </w:tc>
        <w:tc>
          <w:tcPr>
            <w:tcW w:type="dxa" w:w="3888"/>
            <w:shd w:val="clear" w:color="auto" w:fill="FFFFFF"/>
            <w:tcMar>
              <w:top w:w="80" w:type="dxa"/>
              <w:bottom w:w="80" w:type="dxa"/>
              <w:left w:w="100" w:type="dxa"/>
              <w:right w:w="100" w:type="dxa"/>
            </w:tcMar>
          </w:tcPr>
          <w:p>
            <w:pPr>
              <w:jc w:val="left"/>
            </w:pPr>
            <w:r>
              <w:rPr>
                <w:rFonts w:ascii="Arial" w:hAnsi="Arial"/>
                <w:color w:val="282828"/>
                <w:sz w:val="18"/>
              </w:rPr>
              <w:t>Sinh viên các ngành Khoa học Cơ bản (Toán, Vật lý, Hóa học, Sinh học) đạt giải Olympic hoặc NCKH xuất sắc.</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Tháng 8 - 9 hàng năm</w:t>
            </w:r>
          </w:p>
        </w:tc>
      </w:tr>
      <w:tr>
        <w:tc>
          <w:tcPr>
            <w:tcW w:type="dxa" w:w="2160"/>
            <w:shd w:val="clear" w:color="auto" w:fill="F9FBFC"/>
            <w:tcMar>
              <w:top w:w="80" w:type="dxa"/>
              <w:bottom w:w="80" w:type="dxa"/>
              <w:left w:w="100" w:type="dxa"/>
              <w:right w:w="100" w:type="dxa"/>
            </w:tcMar>
          </w:tcPr>
          <w:p>
            <w:pPr>
              <w:jc w:val="center"/>
            </w:pPr>
            <w:r>
              <w:rPr>
                <w:rFonts w:ascii="Arial" w:hAnsi="Arial"/>
                <w:color w:val="282828"/>
                <w:sz w:val="18"/>
              </w:rPr>
              <w:t>Học bổng Lawrence S. Ting</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Công ty Phú Mỹ Hưng (Đài Loan)</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14.000.000 VNĐ / năm học</w:t>
            </w:r>
          </w:p>
        </w:tc>
        <w:tc>
          <w:tcPr>
            <w:tcW w:type="dxa" w:w="3888"/>
            <w:shd w:val="clear" w:color="auto" w:fill="F9FBFC"/>
            <w:tcMar>
              <w:top w:w="80" w:type="dxa"/>
              <w:bottom w:w="80" w:type="dxa"/>
              <w:left w:w="100" w:type="dxa"/>
              <w:right w:w="100" w:type="dxa"/>
            </w:tcMar>
          </w:tcPr>
          <w:p>
            <w:pPr>
              <w:jc w:val="left"/>
            </w:pPr>
            <w:r>
              <w:rPr>
                <w:rFonts w:ascii="Arial" w:hAnsi="Arial"/>
                <w:color w:val="282828"/>
                <w:sz w:val="18"/>
              </w:rPr>
              <w:t>Sinh viên năm 2, 3, 4; hoàn cảnh khó khăn; CPA ≥ 2.80; tích cực hoạt động vì cộng đồng.</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Tháng 7 - 8 hàng năm</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Học bổng KOVA</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Tập đoàn Sơn KOVA</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10.000.000 - 15.000.000 VNĐ</w:t>
            </w:r>
          </w:p>
        </w:tc>
        <w:tc>
          <w:tcPr>
            <w:tcW w:type="dxa" w:w="3888"/>
            <w:shd w:val="clear" w:color="auto" w:fill="FFFFFF"/>
            <w:tcMar>
              <w:top w:w="80" w:type="dxa"/>
              <w:bottom w:w="80" w:type="dxa"/>
              <w:left w:w="100" w:type="dxa"/>
              <w:right w:w="100" w:type="dxa"/>
            </w:tcMar>
          </w:tcPr>
          <w:p>
            <w:pPr>
              <w:jc w:val="left"/>
            </w:pPr>
            <w:r>
              <w:rPr>
                <w:rFonts w:ascii="Arial" w:hAnsi="Arial"/>
                <w:color w:val="282828"/>
                <w:sz w:val="18"/>
              </w:rPr>
              <w:t>Hạng mục Nghị lực (vượt khó) &amp; Hạng mục Triển vọng (đề tài NCKH xuất sắc ngành Hóa, Sinh, Vật liệu).</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Tháng 9 - 10 hàng năm</w:t>
            </w:r>
          </w:p>
        </w:tc>
      </w:tr>
      <w:tr>
        <w:tc>
          <w:tcPr>
            <w:tcW w:type="dxa" w:w="2160"/>
            <w:shd w:val="clear" w:color="auto" w:fill="F9FBFC"/>
            <w:tcMar>
              <w:top w:w="80" w:type="dxa"/>
              <w:bottom w:w="80" w:type="dxa"/>
              <w:left w:w="100" w:type="dxa"/>
              <w:right w:w="100" w:type="dxa"/>
            </w:tcMar>
          </w:tcPr>
          <w:p>
            <w:pPr>
              <w:jc w:val="center"/>
            </w:pPr>
            <w:r>
              <w:rPr>
                <w:rFonts w:ascii="Arial" w:hAnsi="Arial"/>
                <w:color w:val="282828"/>
                <w:sz w:val="18"/>
              </w:rPr>
              <w:t>Học bổng Quỹ LOTTE</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Tập đoàn LOTTE (Hàn Quốc)</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400 USD / kỳ (~9.500.000 VNĐ)</w:t>
            </w:r>
          </w:p>
        </w:tc>
        <w:tc>
          <w:tcPr>
            <w:tcW w:type="dxa" w:w="3888"/>
            <w:shd w:val="clear" w:color="auto" w:fill="F9FBFC"/>
            <w:tcMar>
              <w:top w:w="80" w:type="dxa"/>
              <w:bottom w:w="80" w:type="dxa"/>
              <w:left w:w="100" w:type="dxa"/>
              <w:right w:w="100" w:type="dxa"/>
            </w:tcMar>
          </w:tcPr>
          <w:p>
            <w:pPr>
              <w:jc w:val="left"/>
            </w:pPr>
            <w:r>
              <w:rPr>
                <w:rFonts w:ascii="Arial" w:hAnsi="Arial"/>
                <w:color w:val="282828"/>
                <w:sz w:val="18"/>
              </w:rPr>
              <w:t>Sinh viên năm 3, 4; CPA ≥ 3.20; khả năng tiếng Hàn hoặc tiếng Anh là lợi thế cạnh tranh.</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2 đợt: Tháng 3 và Tháng 10</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Học bổng Yamada Foundation</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Quỹ Yamada (Nhật Bản)</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200 USD / suất (~4.800.000 VNĐ)</w:t>
            </w:r>
          </w:p>
        </w:tc>
        <w:tc>
          <w:tcPr>
            <w:tcW w:type="dxa" w:w="3888"/>
            <w:shd w:val="clear" w:color="auto" w:fill="FFFFFF"/>
            <w:tcMar>
              <w:top w:w="80" w:type="dxa"/>
              <w:bottom w:w="80" w:type="dxa"/>
              <w:left w:w="100" w:type="dxa"/>
              <w:right w:w="100" w:type="dxa"/>
            </w:tcMar>
          </w:tcPr>
          <w:p>
            <w:pPr>
              <w:jc w:val="left"/>
            </w:pPr>
            <w:r>
              <w:rPr>
                <w:rFonts w:ascii="Arial" w:hAnsi="Arial"/>
                <w:color w:val="282828"/>
                <w:sz w:val="18"/>
              </w:rPr>
              <w:t>Hỗ trợ học tập cho sinh viên có hoàn cảnh khó khăn đạt học lực từ Khá trở lên.</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Tháng 11 hàng năm</w:t>
            </w:r>
          </w:p>
        </w:tc>
      </w:tr>
      <w:tr>
        <w:tc>
          <w:tcPr>
            <w:tcW w:type="dxa" w:w="2160"/>
            <w:shd w:val="clear" w:color="auto" w:fill="F9FBFC"/>
            <w:tcMar>
              <w:top w:w="80" w:type="dxa"/>
              <w:bottom w:w="80" w:type="dxa"/>
              <w:left w:w="100" w:type="dxa"/>
              <w:right w:w="100" w:type="dxa"/>
            </w:tcMar>
          </w:tcPr>
          <w:p>
            <w:pPr>
              <w:jc w:val="center"/>
            </w:pPr>
            <w:r>
              <w:rPr>
                <w:rFonts w:ascii="Arial" w:hAnsi="Arial"/>
                <w:color w:val="282828"/>
                <w:sz w:val="18"/>
              </w:rPr>
              <w:t>Học bổng POSCO TJ Park</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Tập đoàn Thép POSCO (Hàn Quốc)</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1.000 USD / năm học</w:t>
            </w:r>
          </w:p>
        </w:tc>
        <w:tc>
          <w:tcPr>
            <w:tcW w:type="dxa" w:w="3888"/>
            <w:shd w:val="clear" w:color="auto" w:fill="F9FBFC"/>
            <w:tcMar>
              <w:top w:w="80" w:type="dxa"/>
              <w:bottom w:w="80" w:type="dxa"/>
              <w:left w:w="100" w:type="dxa"/>
              <w:right w:w="100" w:type="dxa"/>
            </w:tcMar>
          </w:tcPr>
          <w:p>
            <w:pPr>
              <w:jc w:val="left"/>
            </w:pPr>
            <w:r>
              <w:rPr>
                <w:rFonts w:ascii="Arial" w:hAnsi="Arial"/>
                <w:color w:val="282828"/>
                <w:sz w:val="18"/>
              </w:rPr>
              <w:t>Top 10 sinh viên xuất sắc nhất trường; kỹ năng lãnh đạo và hoạt động phong trào nổi bật.</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Tháng 10 hàng năm</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Học bổng BIDV / Vietcombank</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Các Ngân hàng Thương mại lớn</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5.000.000 - 10.000.000 VNĐ</w:t>
            </w:r>
          </w:p>
        </w:tc>
        <w:tc>
          <w:tcPr>
            <w:tcW w:type="dxa" w:w="3888"/>
            <w:shd w:val="clear" w:color="auto" w:fill="FFFFFF"/>
            <w:tcMar>
              <w:top w:w="80" w:type="dxa"/>
              <w:bottom w:w="80" w:type="dxa"/>
              <w:left w:w="100" w:type="dxa"/>
              <w:right w:w="100" w:type="dxa"/>
            </w:tcMar>
          </w:tcPr>
          <w:p>
            <w:pPr>
              <w:jc w:val="left"/>
            </w:pPr>
            <w:r>
              <w:rPr>
                <w:rFonts w:ascii="Arial" w:hAnsi="Arial"/>
                <w:color w:val="282828"/>
                <w:sz w:val="18"/>
              </w:rPr>
              <w:t>Dành cho sinh viên đạt danh hiệu Sinh viên 5 tốt hoặc sinh viên có hoàn cảnh khó khăn học giỏi.</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Tháng 11 - 12 hàng năm</w:t>
            </w:r>
          </w:p>
        </w:tc>
      </w:tr>
      <w:tr>
        <w:tc>
          <w:tcPr>
            <w:tcW w:type="dxa" w:w="2160"/>
            <w:shd w:val="clear" w:color="auto" w:fill="F9FBFC"/>
            <w:tcMar>
              <w:top w:w="80" w:type="dxa"/>
              <w:bottom w:w="80" w:type="dxa"/>
              <w:left w:w="100" w:type="dxa"/>
              <w:right w:w="100" w:type="dxa"/>
            </w:tcMar>
          </w:tcPr>
          <w:p>
            <w:pPr>
              <w:jc w:val="center"/>
            </w:pPr>
            <w:r>
              <w:rPr>
                <w:rFonts w:ascii="Arial" w:hAnsi="Arial"/>
                <w:color w:val="282828"/>
                <w:sz w:val="18"/>
              </w:rPr>
              <w:t>Học bổng Mitsubishi</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Tập đoàn Mitsubishi (Nhật Bản)</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350 USD / suất (~8.500.000 VNĐ)</w:t>
            </w:r>
          </w:p>
        </w:tc>
        <w:tc>
          <w:tcPr>
            <w:tcW w:type="dxa" w:w="3888"/>
            <w:shd w:val="clear" w:color="auto" w:fill="F9FBFC"/>
            <w:tcMar>
              <w:top w:w="80" w:type="dxa"/>
              <w:bottom w:w="80" w:type="dxa"/>
              <w:left w:w="100" w:type="dxa"/>
              <w:right w:w="100" w:type="dxa"/>
            </w:tcMar>
          </w:tcPr>
          <w:p>
            <w:pPr>
              <w:jc w:val="left"/>
            </w:pPr>
            <w:r>
              <w:rPr>
                <w:rFonts w:ascii="Arial" w:hAnsi="Arial"/>
                <w:color w:val="282828"/>
                <w:sz w:val="18"/>
              </w:rPr>
              <w:t>Sinh viên có thành tích học tập tốt, chưa nhận học bổng doanh nghiệp nào khác trong năm.</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Tháng 10 hàng năm</w:t>
            </w:r>
          </w:p>
        </w:tc>
      </w:tr>
      <w:tr>
        <w:tc>
          <w:tcPr>
            <w:tcW w:type="dxa" w:w="2160"/>
            <w:shd w:val="clear" w:color="auto" w:fill="FFFFFF"/>
            <w:tcMar>
              <w:top w:w="80" w:type="dxa"/>
              <w:bottom w:w="80" w:type="dxa"/>
              <w:left w:w="100" w:type="dxa"/>
              <w:right w:w="100" w:type="dxa"/>
            </w:tcMar>
          </w:tcPr>
          <w:p>
            <w:pPr>
              <w:jc w:val="center"/>
            </w:pPr>
            <w:r>
              <w:rPr>
                <w:rFonts w:ascii="Arial" w:hAnsi="Arial"/>
                <w:color w:val="282828"/>
                <w:sz w:val="18"/>
              </w:rPr>
              <w:t>Học bổng Sumitomo</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Tập đoàn Thương mại Sumitomo (Nhật Bản)</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300 USD / suất (~7.200.000 VNĐ)</w:t>
            </w:r>
          </w:p>
        </w:tc>
        <w:tc>
          <w:tcPr>
            <w:tcW w:type="dxa" w:w="3888"/>
            <w:shd w:val="clear" w:color="auto" w:fill="FFFFFF"/>
            <w:tcMar>
              <w:top w:w="80" w:type="dxa"/>
              <w:bottom w:w="80" w:type="dxa"/>
              <w:left w:w="100" w:type="dxa"/>
              <w:right w:w="100" w:type="dxa"/>
            </w:tcMar>
          </w:tcPr>
          <w:p>
            <w:pPr>
              <w:jc w:val="left"/>
            </w:pPr>
            <w:r>
              <w:rPr>
                <w:rFonts w:ascii="Arial" w:hAnsi="Arial"/>
                <w:color w:val="282828"/>
                <w:sz w:val="18"/>
              </w:rPr>
              <w:t>Sinh viên các khối ngành Tự nhiên, Công nghệ có tinh thần vượt khó vươn lên.</w:t>
            </w:r>
          </w:p>
        </w:tc>
        <w:tc>
          <w:tcPr>
            <w:tcW w:type="dxa" w:w="2304"/>
            <w:shd w:val="clear" w:color="auto" w:fill="FFFFFF"/>
            <w:tcMar>
              <w:top w:w="80" w:type="dxa"/>
              <w:bottom w:w="80" w:type="dxa"/>
              <w:left w:w="100" w:type="dxa"/>
              <w:right w:w="100" w:type="dxa"/>
            </w:tcMar>
          </w:tcPr>
          <w:p>
            <w:pPr>
              <w:jc w:val="left"/>
            </w:pPr>
            <w:r>
              <w:rPr>
                <w:rFonts w:ascii="Arial" w:hAnsi="Arial"/>
                <w:color w:val="282828"/>
                <w:sz w:val="18"/>
              </w:rPr>
              <w:t>Tháng 11 hàng năm</w:t>
            </w:r>
          </w:p>
        </w:tc>
      </w:tr>
      <w:tr>
        <w:tc>
          <w:tcPr>
            <w:tcW w:type="dxa" w:w="2160"/>
            <w:shd w:val="clear" w:color="auto" w:fill="F9FBFC"/>
            <w:tcMar>
              <w:top w:w="80" w:type="dxa"/>
              <w:bottom w:w="80" w:type="dxa"/>
              <w:left w:w="100" w:type="dxa"/>
              <w:right w:w="100" w:type="dxa"/>
            </w:tcMar>
          </w:tcPr>
          <w:p>
            <w:pPr>
              <w:jc w:val="center"/>
            </w:pPr>
            <w:r>
              <w:rPr>
                <w:rFonts w:ascii="Arial" w:hAnsi="Arial"/>
                <w:color w:val="282828"/>
                <w:sz w:val="18"/>
              </w:rPr>
              <w:t>Học bổng Cựu Sinh viên HCMUS</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Ban Liên lạc Cựu Sinh viên các Khoa</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5.000.000 - 10.000.000 VNĐ</w:t>
            </w:r>
          </w:p>
        </w:tc>
        <w:tc>
          <w:tcPr>
            <w:tcW w:type="dxa" w:w="3888"/>
            <w:shd w:val="clear" w:color="auto" w:fill="F9FBFC"/>
            <w:tcMar>
              <w:top w:w="80" w:type="dxa"/>
              <w:bottom w:w="80" w:type="dxa"/>
              <w:left w:w="100" w:type="dxa"/>
              <w:right w:w="100" w:type="dxa"/>
            </w:tcMar>
          </w:tcPr>
          <w:p>
            <w:pPr>
              <w:jc w:val="left"/>
            </w:pPr>
            <w:r>
              <w:rPr>
                <w:rFonts w:ascii="Arial" w:hAnsi="Arial"/>
                <w:color w:val="282828"/>
                <w:sz w:val="18"/>
              </w:rPr>
              <w:t>Tiếp sức cho đàn em có hoàn cảnh gia đình ngặt nghèo, hỗ trợ chi phí mua laptop và thiết bị học tập.</w:t>
            </w:r>
          </w:p>
        </w:tc>
        <w:tc>
          <w:tcPr>
            <w:tcW w:type="dxa" w:w="2304"/>
            <w:shd w:val="clear" w:color="auto" w:fill="F9FBFC"/>
            <w:tcMar>
              <w:top w:w="80" w:type="dxa"/>
              <w:bottom w:w="80" w:type="dxa"/>
              <w:left w:w="100" w:type="dxa"/>
              <w:right w:w="100" w:type="dxa"/>
            </w:tcMar>
          </w:tcPr>
          <w:p>
            <w:pPr>
              <w:jc w:val="left"/>
            </w:pPr>
            <w:r>
              <w:rPr>
                <w:rFonts w:ascii="Arial" w:hAnsi="Arial"/>
                <w:color w:val="282828"/>
                <w:sz w:val="18"/>
              </w:rPr>
              <w:t>Tháng 10 - 11 hàng năm</w:t>
            </w:r>
          </w:p>
        </w:tc>
      </w:tr>
    </w:tbl>
    <w:p>
      <w:pPr>
        <w:spacing w:before="0" w:after="80"/>
      </w:pPr>
    </w:p>
    <w:p>
      <w:pPr>
        <w:keepNext/>
        <w:spacing w:before="280" w:after="80"/>
      </w:pPr>
      <w:r>
        <w:rPr>
          <w:rFonts w:ascii="Arial" w:hAnsi="Arial"/>
          <w:b/>
          <w:color w:val="003366"/>
          <w:sz w:val="26"/>
        </w:rPr>
        <w:t>PHẦN 3: CHÍNH SÁCH MIỄN GIẢM HỌC PHÍ (THEO NGHỊ ĐỊNH 81/2021/NĐ-CP)</w:t>
      </w:r>
    </w:p>
    <w:p>
      <w:pPr>
        <w:spacing w:before="40" w:after="60" w:line="276" w:lineRule="auto"/>
      </w:pPr>
      <w:r>
        <w:rPr>
          <w:rFonts w:ascii="Arial" w:hAnsi="Arial"/>
          <w:b/>
          <w:color w:val="1E1E1E"/>
          <w:sz w:val="20"/>
        </w:rPr>
        <w:t xml:space="preserve">Khung pháp lý Nhà nước: </w:t>
      </w:r>
      <w:r>
        <w:rPr>
          <w:rFonts w:ascii="Arial" w:hAnsi="Arial"/>
          <w:color w:val="282828"/>
          <w:sz w:val="20"/>
        </w:rPr>
        <w:t>Thực hiện Nghị định số 81/2021/NĐ-CP của Chính phủ quy định về cơ chế thu, quản lý học phí và chính sách miễn, giảm học phí, hỗ trợ chi phí học tập:</w:t>
      </w:r>
    </w:p>
    <w:p>
      <w:pPr>
        <w:keepNext/>
        <w:spacing w:before="200" w:after="60"/>
      </w:pPr>
      <w:r>
        <w:rPr>
          <w:rFonts w:ascii="Arial" w:hAnsi="Arial"/>
          <w:b/>
          <w:color w:val="006699"/>
          <w:sz w:val="23"/>
        </w:rPr>
        <w:t>1. Đối Tượng Được Miễn 100% Học Phí</w:t>
      </w:r>
    </w:p>
    <w:p>
      <w:pPr>
        <w:pStyle w:val="ListBullet"/>
        <w:spacing w:before="20" w:after="40" w:line="276" w:lineRule="auto"/>
      </w:pPr>
      <w:r>
        <w:rPr>
          <w:rFonts w:ascii="Arial" w:hAnsi="Arial"/>
          <w:b/>
          <w:color w:val="1E1E1E"/>
          <w:sz w:val="20"/>
        </w:rPr>
        <w:t xml:space="preserve">• Nhóm 1: </w:t>
      </w:r>
      <w:r>
        <w:rPr>
          <w:rFonts w:ascii="Arial" w:hAnsi="Arial"/>
          <w:color w:val="282828"/>
          <w:sz w:val="20"/>
        </w:rPr>
        <w:t>Người có công với cách mạng và thân nhân của người có công với cách mạng theo Pháp lệnh Ưu đãi người có công (Con liệt sĩ, con thương binh, con bệnh binh nặng).</w:t>
      </w:r>
    </w:p>
    <w:p>
      <w:pPr>
        <w:pStyle w:val="ListBullet"/>
        <w:spacing w:before="20" w:after="40" w:line="276" w:lineRule="auto"/>
      </w:pPr>
      <w:r>
        <w:rPr>
          <w:rFonts w:ascii="Arial" w:hAnsi="Arial"/>
          <w:b/>
          <w:color w:val="1E1E1E"/>
          <w:sz w:val="20"/>
        </w:rPr>
        <w:t xml:space="preserve">• Nhóm 2: </w:t>
      </w:r>
      <w:r>
        <w:rPr>
          <w:rFonts w:ascii="Arial" w:hAnsi="Arial"/>
          <w:color w:val="282828"/>
          <w:sz w:val="20"/>
        </w:rPr>
        <w:t>Sinh viên khuyết tật (có Giấy xác nhận mức độ khuyết tật nặng hoặc đặc biệt nặng do UBND cấp xã cấp).</w:t>
      </w:r>
    </w:p>
    <w:p>
      <w:pPr>
        <w:pStyle w:val="ListBullet"/>
        <w:spacing w:before="20" w:after="40" w:line="276" w:lineRule="auto"/>
      </w:pPr>
      <w:r>
        <w:rPr>
          <w:rFonts w:ascii="Arial" w:hAnsi="Arial"/>
          <w:b/>
          <w:color w:val="1E1E1E"/>
          <w:sz w:val="20"/>
        </w:rPr>
        <w:t xml:space="preserve">• Nhóm 3: </w:t>
      </w:r>
      <w:r>
        <w:rPr>
          <w:rFonts w:ascii="Arial" w:hAnsi="Arial"/>
          <w:color w:val="282828"/>
          <w:sz w:val="20"/>
        </w:rPr>
        <w:t>Sinh viên mồ côi cả cha lẫn mẹ không nơi nương tựa hoặc thuộc diện bảo trợ xã hội theo quy định pháp luật.</w:t>
      </w:r>
    </w:p>
    <w:p>
      <w:pPr>
        <w:pStyle w:val="ListBullet"/>
        <w:spacing w:before="20" w:after="40" w:line="276" w:lineRule="auto"/>
      </w:pPr>
      <w:r>
        <w:rPr>
          <w:rFonts w:ascii="Arial" w:hAnsi="Arial"/>
          <w:b/>
          <w:color w:val="1E1E1E"/>
          <w:sz w:val="20"/>
        </w:rPr>
        <w:t xml:space="preserve">• Nhóm 4: </w:t>
      </w:r>
      <w:r>
        <w:rPr>
          <w:rFonts w:ascii="Arial" w:hAnsi="Arial"/>
          <w:color w:val="282828"/>
          <w:sz w:val="20"/>
        </w:rPr>
        <w:t>Sinh viên là người dân tộc thiểu số rất ít người (La Ha, La Hủ, Pà Thẻn, Chứt, Lự, Lô Lô, Mảng, Cờ Lao, Bố Y, Cống, Si La, Pu Péo, Rơ Măm, Brâu, Ơ Đu) ở vùng KTXH khó khăn.</w:t>
      </w:r>
    </w:p>
    <w:p>
      <w:pPr>
        <w:pStyle w:val="ListBullet"/>
        <w:spacing w:before="20" w:after="40" w:line="276" w:lineRule="auto"/>
      </w:pPr>
      <w:r>
        <w:rPr>
          <w:rFonts w:ascii="Arial" w:hAnsi="Arial"/>
          <w:b/>
          <w:color w:val="1E1E1E"/>
          <w:sz w:val="20"/>
        </w:rPr>
        <w:t xml:space="preserve">• Nhóm 5: </w:t>
      </w:r>
      <w:r>
        <w:rPr>
          <w:rFonts w:ascii="Arial" w:hAnsi="Arial"/>
          <w:color w:val="282828"/>
          <w:sz w:val="20"/>
        </w:rPr>
        <w:t>Sinh viên người dân tộc thiểu số có cha mẹ hoặc bản thân thuộc hộ nghèo và hộ cận nghèo theo chuẩn nghèo quốc gia.</w:t>
      </w:r>
    </w:p>
    <w:p>
      <w:pPr>
        <w:keepNext/>
        <w:spacing w:before="200" w:after="60"/>
      </w:pPr>
      <w:r>
        <w:rPr>
          <w:rFonts w:ascii="Arial" w:hAnsi="Arial"/>
          <w:b/>
          <w:color w:val="006699"/>
          <w:sz w:val="23"/>
        </w:rPr>
        <w:t>2. Đối Tượng Được Giảm 70% Học Phí</w:t>
      </w:r>
    </w:p>
    <w:p>
      <w:pPr>
        <w:spacing w:before="40" w:after="60" w:line="276" w:lineRule="auto"/>
      </w:pPr>
      <w:r>
        <w:rPr>
          <w:rFonts w:ascii="Arial" w:hAnsi="Arial"/>
          <w:b/>
          <w:color w:val="1E1E1E"/>
          <w:sz w:val="20"/>
        </w:rPr>
        <w:t xml:space="preserve">Quy định giảm 70%: </w:t>
      </w:r>
      <w:r>
        <w:rPr>
          <w:rFonts w:ascii="Arial" w:hAnsi="Arial"/>
          <w:color w:val="282828"/>
          <w:sz w:val="20"/>
        </w:rPr>
        <w:t>Sinh viên là người dân tộc thiểu số (không phải dân tộc thiểu số rất ít người) ở thôn/bản đặc biệt khó khăn, xã khu vực III vùng dân tộc và miền núi, xã đặc biệt khó khăn vùng bãi ngang ven biển hải đảo theo quy định của Thủ tướng Chính phủ.</w:t>
      </w:r>
    </w:p>
    <w:p>
      <w:pPr>
        <w:keepNext/>
        <w:spacing w:before="200" w:after="60"/>
      </w:pPr>
      <w:r>
        <w:rPr>
          <w:rFonts w:ascii="Arial" w:hAnsi="Arial"/>
          <w:b/>
          <w:color w:val="006699"/>
          <w:sz w:val="23"/>
        </w:rPr>
        <w:t>3. Đối Tượng Được Giảm 50% Học Phí</w:t>
      </w:r>
    </w:p>
    <w:p>
      <w:pPr>
        <w:spacing w:before="40" w:after="60" w:line="276" w:lineRule="auto"/>
      </w:pPr>
      <w:r>
        <w:rPr>
          <w:rFonts w:ascii="Arial" w:hAnsi="Arial"/>
          <w:b/>
          <w:color w:val="1E1E1E"/>
          <w:sz w:val="20"/>
        </w:rPr>
        <w:t xml:space="preserve">Quy định giảm 50%: </w:t>
      </w:r>
      <w:r>
        <w:rPr>
          <w:rFonts w:ascii="Arial" w:hAnsi="Arial"/>
          <w:color w:val="282828"/>
          <w:sz w:val="20"/>
        </w:rPr>
        <w:t>Sinh viên là con cán bộ, công chức, viên chức, công nhân mà cha hoặc mẹ bị tai nạn lao động hoặc mắc bệnh nghề nghiệp được hưởng trợ cấp thường xuyên của Nhà nước.</w:t>
      </w:r>
    </w:p>
    <w:p>
      <w:pPr>
        <w:keepNext/>
        <w:spacing w:before="200" w:after="60"/>
      </w:pPr>
      <w:r>
        <w:rPr>
          <w:rFonts w:ascii="Arial" w:hAnsi="Arial"/>
          <w:b/>
          <w:color w:val="006699"/>
          <w:sz w:val="23"/>
        </w:rPr>
        <w:t>Hồ Sơ &amp; Thời Hạn Nộp Thủ Tục Miễn Giảm Học Phí</w:t>
      </w:r>
    </w:p>
    <w:p>
      <w:pPr>
        <w:pStyle w:val="ListBullet"/>
        <w:spacing w:before="20" w:after="40" w:line="276" w:lineRule="auto"/>
      </w:pPr>
      <w:r>
        <w:rPr>
          <w:rFonts w:ascii="Arial" w:hAnsi="Arial"/>
          <w:b/>
          <w:color w:val="1E1E1E"/>
          <w:sz w:val="20"/>
        </w:rPr>
        <w:t xml:space="preserve">• Thành phần hồ sơ: </w:t>
      </w:r>
      <w:r>
        <w:rPr>
          <w:rFonts w:ascii="Arial" w:hAnsi="Arial"/>
          <w:color w:val="282828"/>
          <w:sz w:val="20"/>
        </w:rPr>
        <w:t>Hồ sơ chuẩn bị: (1) Đơn đề nghị miễn, giảm học phí (theo Mẫu phụ lục II Nghị định 81); (2) Bản sao công chứng Căn cước công dân; (3) Bản sao công chứng Giấy tờ chứng minh đối tượng chính sách (Giấy xác nhận khuyết tật, Giấy chứng nhận hộ nghèo/cận nghèo năm hiện hành, Thẻ thương binh của cha mẹ, Giấy khai sinh).</w:t>
      </w:r>
    </w:p>
    <w:p>
      <w:pPr>
        <w:pStyle w:val="ListBullet"/>
        <w:spacing w:before="20" w:after="40" w:line="276" w:lineRule="auto"/>
      </w:pPr>
      <w:r>
        <w:rPr>
          <w:rFonts w:ascii="Arial" w:hAnsi="Arial"/>
          <w:b/>
          <w:color w:val="1E1E1E"/>
          <w:sz w:val="20"/>
        </w:rPr>
        <w:t xml:space="preserve">• Thời hạn bắt buộc: </w:t>
      </w:r>
      <w:r>
        <w:rPr>
          <w:rFonts w:ascii="Arial" w:hAnsi="Arial"/>
          <w:color w:val="282828"/>
          <w:sz w:val="20"/>
        </w:rPr>
        <w:t>Thời hạn nộp: Học kỳ 1 nộp trước ngày 30/10 hàng năm; Học kỳ 2 nộp trước ngày 15/03 hàng năm.</w:t>
      </w:r>
    </w:p>
    <w:p>
      <w:pPr>
        <w:pStyle w:val="ListBullet"/>
        <w:spacing w:before="20" w:after="40" w:line="276" w:lineRule="auto"/>
      </w:pPr>
      <w:r>
        <w:rPr>
          <w:rFonts w:ascii="Arial" w:hAnsi="Arial"/>
          <w:b/>
          <w:color w:val="1E1E1E"/>
          <w:sz w:val="20"/>
        </w:rPr>
        <w:t xml:space="preserve">• Địa điểm tiếp nhận: </w:t>
      </w:r>
      <w:r>
        <w:rPr>
          <w:rFonts w:ascii="Arial" w:hAnsi="Arial"/>
          <w:color w:val="282828"/>
          <w:sz w:val="20"/>
        </w:rPr>
        <w:t>Địa điểm nộp: Phòng Công tác Sinh viên (Bàn tiếp nhận sinh viên Sảnh B CS1 hoặc Phòng C11 CS2).</w:t>
      </w:r>
    </w:p>
    <w:p>
      <w:pPr>
        <w:keepNext/>
        <w:spacing w:before="280" w:after="80"/>
      </w:pPr>
      <w:r>
        <w:rPr>
          <w:rFonts w:ascii="Arial" w:hAnsi="Arial"/>
          <w:b/>
          <w:color w:val="003366"/>
          <w:sz w:val="26"/>
        </w:rPr>
        <w:t>PHẦN 4: TRỢ CẤP XÃ HỘI &amp; HỖ TRỢ SINH VIÊN KHUYẾT TẬT, DÂN TỘC THIỂU SỐ</w:t>
      </w:r>
    </w:p>
    <w:p>
      <w:pPr>
        <w:spacing w:before="40" w:after="60" w:line="276" w:lineRule="auto"/>
      </w:pPr>
      <w:r>
        <w:rPr>
          <w:rFonts w:ascii="Arial" w:hAnsi="Arial"/>
          <w:b/>
          <w:color w:val="1E1E1E"/>
          <w:sz w:val="20"/>
        </w:rPr>
        <w:t xml:space="preserve">Chính sách an sinh: </w:t>
      </w:r>
      <w:r>
        <w:rPr>
          <w:rFonts w:ascii="Arial" w:hAnsi="Arial"/>
          <w:color w:val="282828"/>
          <w:sz w:val="20"/>
        </w:rPr>
        <w:t>Bên cạnh chính sách miễn giảm học phí, sinh viên thuộc diện khó khăn còn được hưởng các khoản trợ cấp xã hội tiền mặt định kỳ hàng tháng do Ngân sách Nhà nước chi trả:</w:t>
      </w:r>
    </w:p>
    <w:p>
      <w:pPr>
        <w:pStyle w:val="ListBullet"/>
        <w:spacing w:before="20" w:after="40" w:line="276" w:lineRule="auto"/>
      </w:pPr>
      <w:r>
        <w:rPr>
          <w:rFonts w:ascii="Arial" w:hAnsi="Arial"/>
          <w:b/>
          <w:color w:val="1E1E1E"/>
          <w:sz w:val="20"/>
        </w:rPr>
        <w:t xml:space="preserve">• Trợ cấp xã hội: </w:t>
      </w:r>
      <w:r>
        <w:rPr>
          <w:rFonts w:ascii="Arial" w:hAnsi="Arial"/>
          <w:color w:val="282828"/>
          <w:sz w:val="20"/>
        </w:rPr>
        <w:t>Mức trợ cấp xã hội thông thường: 140.000 đồng/tháng (chi trả 12 tháng/năm học) dành cho sinh viên mồ côi cả cha lẫn mẹ; sinh viên khuyết tật nặng; sinh viên vùng cao, hải đảo.</w:t>
      </w:r>
    </w:p>
    <w:p>
      <w:pPr>
        <w:pStyle w:val="ListBullet"/>
        <w:spacing w:before="20" w:after="40" w:line="276" w:lineRule="auto"/>
      </w:pPr>
      <w:r>
        <w:rPr>
          <w:rFonts w:ascii="Arial" w:hAnsi="Arial"/>
          <w:b/>
          <w:color w:val="1E1E1E"/>
          <w:sz w:val="20"/>
        </w:rPr>
        <w:t xml:space="preserve">• Hỗ trợ chi phí học tập: </w:t>
      </w:r>
      <w:r>
        <w:rPr>
          <w:rFonts w:ascii="Arial" w:hAnsi="Arial"/>
          <w:color w:val="282828"/>
          <w:sz w:val="20"/>
        </w:rPr>
        <w:t>Hỗ trợ chi phí học tập cho SV Dân tộc thiểu số (QĐ 66/2013/QĐ-TTg): Sinh viên là người dân tộc thiểu số thuộc hộ nghèo/cận nghèo thi đỗ vào trường được hỗ trợ chi phí học tập bằng 60% mức lương cơ sở hiện hành mỗi tháng (chi trả 10 tháng trong năm học).</w:t>
      </w:r>
    </w:p>
    <w:p>
      <w:pPr>
        <w:pStyle w:val="ListBullet"/>
        <w:spacing w:before="20" w:after="40" w:line="276" w:lineRule="auto"/>
      </w:pPr>
      <w:r>
        <w:rPr>
          <w:rFonts w:ascii="Arial" w:hAnsi="Arial"/>
          <w:b/>
          <w:color w:val="1E1E1E"/>
          <w:sz w:val="20"/>
        </w:rPr>
        <w:t xml:space="preserve">• SV khuyết tật: </w:t>
      </w:r>
      <w:r>
        <w:rPr>
          <w:rFonts w:ascii="Arial" w:hAnsi="Arial"/>
          <w:color w:val="282828"/>
          <w:sz w:val="20"/>
        </w:rPr>
        <w:t>Chính sách cho SV khuyết tật (Thông tư liên tịch 42/2013/TTLT): Hỗ trợ học bổng học tập bằng 80% mức lương cơ sở/tháng và hỗ trợ chi phí phương tiện đồ dùng học tập 1.000.000 đồng/năm.</w:t>
      </w:r>
    </w:p>
    <w:p>
      <w:pPr>
        <w:keepNext/>
        <w:spacing w:before="280" w:after="80"/>
      </w:pPr>
      <w:r>
        <w:rPr>
          <w:rFonts w:ascii="Arial" w:hAnsi="Arial"/>
          <w:b/>
          <w:color w:val="003366"/>
          <w:sz w:val="26"/>
        </w:rPr>
        <w:t>PHẦN 5: CHƯƠNG TRÌNH VAY VỐN TÍN DỤNG SINH VIÊN (NHCSXH &amp; ĐHQG-HCM)</w:t>
      </w:r>
    </w:p>
    <w:p>
      <w:pPr>
        <w:keepNext/>
        <w:spacing w:before="200" w:after="60"/>
      </w:pPr>
      <w:r>
        <w:rPr>
          <w:rFonts w:ascii="Arial" w:hAnsi="Arial"/>
          <w:b/>
          <w:color w:val="006699"/>
          <w:sz w:val="23"/>
        </w:rPr>
        <w:t>1. Chương Trình Vay Vốn Ngân Hàng Chính Sách Xã Hội (NHCSXH - VBSP)</w:t>
      </w:r>
    </w:p>
    <w:p>
      <w:pPr>
        <w:spacing w:before="40" w:after="60" w:line="276" w:lineRule="auto"/>
      </w:pPr>
      <w:r>
        <w:rPr>
          <w:rFonts w:ascii="Arial" w:hAnsi="Arial"/>
          <w:b/>
          <w:color w:val="1E1E1E"/>
          <w:sz w:val="20"/>
        </w:rPr>
        <w:t xml:space="preserve">Chương trình tín dụng học tập: </w:t>
      </w:r>
      <w:r>
        <w:rPr>
          <w:rFonts w:ascii="Arial" w:hAnsi="Arial"/>
          <w:color w:val="282828"/>
          <w:sz w:val="20"/>
        </w:rPr>
        <w:t>Theo Quyết định số 157/2007/QĐ-TTg và Quyết định số 05/2022/QĐ-TTg của Thủ tướng Chính phủ:</w:t>
      </w:r>
    </w:p>
    <w:p>
      <w:pPr>
        <w:pStyle w:val="ListBullet"/>
        <w:spacing w:before="20" w:after="40" w:line="276" w:lineRule="auto"/>
      </w:pPr>
      <w:r>
        <w:rPr>
          <w:rFonts w:ascii="Arial" w:hAnsi="Arial"/>
          <w:b/>
          <w:color w:val="1E1E1E"/>
          <w:sz w:val="20"/>
        </w:rPr>
        <w:t xml:space="preserve">• Hạn mức vay: </w:t>
      </w:r>
      <w:r>
        <w:rPr>
          <w:rFonts w:ascii="Arial" w:hAnsi="Arial"/>
          <w:color w:val="282828"/>
          <w:sz w:val="20"/>
        </w:rPr>
        <w:t>Mức vay tối đa: 4.000.000 VNĐ / tháng (tương đương 40.000.000 VNĐ / năm học / sinh viên).</w:t>
      </w:r>
    </w:p>
    <w:p>
      <w:pPr>
        <w:pStyle w:val="ListBullet"/>
        <w:spacing w:before="20" w:after="40" w:line="276" w:lineRule="auto"/>
      </w:pPr>
      <w:r>
        <w:rPr>
          <w:rFonts w:ascii="Arial" w:hAnsi="Arial"/>
          <w:b/>
          <w:color w:val="1E1E1E"/>
          <w:sz w:val="20"/>
        </w:rPr>
        <w:t xml:space="preserve">• Lãi suất: </w:t>
      </w:r>
      <w:r>
        <w:rPr>
          <w:rFonts w:ascii="Arial" w:hAnsi="Arial"/>
          <w:color w:val="282828"/>
          <w:sz w:val="20"/>
        </w:rPr>
        <w:t>Lãi suất ưu đãi: 0.55% / tháng (tương đương 6.6% / năm). Lãi suất quá hạn bằng 130% lãi suất cho vay.</w:t>
      </w:r>
    </w:p>
    <w:p>
      <w:pPr>
        <w:pStyle w:val="ListBullet"/>
        <w:spacing w:before="20" w:after="40" w:line="276" w:lineRule="auto"/>
      </w:pPr>
      <w:r>
        <w:rPr>
          <w:rFonts w:ascii="Arial" w:hAnsi="Arial"/>
          <w:b/>
          <w:color w:val="1E1E1E"/>
          <w:sz w:val="20"/>
        </w:rPr>
        <w:t xml:space="preserve">• Thời gian hoàn trả: </w:t>
      </w:r>
      <w:r>
        <w:rPr>
          <w:rFonts w:ascii="Arial" w:hAnsi="Arial"/>
          <w:color w:val="282828"/>
          <w:sz w:val="20"/>
        </w:rPr>
        <w:t>Thời hạn trả nợ: Bắt đầu từ khi sinh viên tốt nghiệp ra trường và có việc làm, thời gian trả nợ tối đa bằng thời gian đã vay vốn học tập tại trường.</w:t>
      </w:r>
    </w:p>
    <w:p>
      <w:pPr>
        <w:pStyle w:val="ListBullet"/>
        <w:spacing w:before="20" w:after="40" w:line="276" w:lineRule="auto"/>
      </w:pPr>
      <w:r>
        <w:rPr>
          <w:rFonts w:ascii="Arial" w:hAnsi="Arial"/>
          <w:b/>
          <w:color w:val="1E1E1E"/>
          <w:sz w:val="20"/>
        </w:rPr>
        <w:t xml:space="preserve">• Quy trình: </w:t>
      </w:r>
      <w:r>
        <w:rPr>
          <w:rFonts w:ascii="Arial" w:hAnsi="Arial"/>
          <w:color w:val="282828"/>
          <w:sz w:val="20"/>
        </w:rPr>
        <w:t>Thủ tục: Sinh viên xin Giấy xác nhận đang theo học tại trường (do Phòng CTSV cấp), gửi về gia đình tại địa phương để UBND xã và Tổ Tiết kiệm &amp; Vay vốn thôn/ấp hoàn tất hồ sơ giải ngân tại Phòng Giao dịch NHCSXH cấp quận/huyện.</w:t>
      </w:r>
    </w:p>
    <w:p>
      <w:pPr>
        <w:keepNext/>
        <w:spacing w:before="200" w:after="60"/>
      </w:pPr>
      <w:r>
        <w:rPr>
          <w:rFonts w:ascii="Arial" w:hAnsi="Arial"/>
          <w:b/>
          <w:color w:val="006699"/>
          <w:sz w:val="23"/>
        </w:rPr>
        <w:t>2. Quỹ Hỗ Trợ Tín Dụng Sinh Viên ĐHQG-HCM (Lãi Suất 0%)</w:t>
      </w:r>
    </w:p>
    <w:p>
      <w:pPr>
        <w:spacing w:before="40" w:after="60" w:line="276" w:lineRule="auto"/>
      </w:pPr>
      <w:r>
        <w:rPr>
          <w:rFonts w:ascii="Arial" w:hAnsi="Arial"/>
          <w:b/>
          <w:color w:val="1E1E1E"/>
          <w:sz w:val="20"/>
        </w:rPr>
        <w:t xml:space="preserve">Quỹ hỗ trợ 0% lãi suất: </w:t>
      </w:r>
      <w:r>
        <w:rPr>
          <w:rFonts w:ascii="Arial" w:hAnsi="Arial"/>
          <w:color w:val="282828"/>
          <w:sz w:val="20"/>
        </w:rPr>
        <w:t>ĐHQG-HCM triển khai chương trình cho vay ưu đãi với lãi suất 0% liên kết cùng Ngân hàng TMCP Đầu tư và Phát triển Việt Nam (BIDV). Sinh viên có hoàn cảnh khó khăn được vay số tiền đúng bằng mức học phí thực tế của từng học kỳ để thanh toán học phí trực tiếp cho trường, thời hạn hoàn trả sau khi tốt nghiệp.</w:t>
      </w:r>
    </w:p>
    <w:p>
      <w:pPr>
        <w:keepNext/>
        <w:spacing w:before="280" w:after="80"/>
      </w:pPr>
      <w:r>
        <w:rPr>
          <w:rFonts w:ascii="Arial" w:hAnsi="Arial"/>
          <w:b/>
          <w:color w:val="003366"/>
          <w:sz w:val="26"/>
        </w:rPr>
        <w:t>PHẦN 6: QUY TRÌNH 7 BƯỚC XÉT CHỌN &amp; TRAO HỌC BỔNG TÀI TRỢ DOANH NGHIỆP</w:t>
      </w:r>
    </w:p>
    <w:p>
      <w:pPr>
        <w:spacing w:before="40" w:after="60" w:line="276" w:lineRule="auto"/>
      </w:pPr>
      <w:r>
        <w:rPr>
          <w:rFonts w:ascii="Arial" w:hAnsi="Arial"/>
          <w:b/>
          <w:color w:val="1E1E1E"/>
          <w:sz w:val="20"/>
        </w:rPr>
        <w:t xml:space="preserve">Quy trình 7 bước: </w:t>
      </w:r>
      <w:r>
        <w:rPr>
          <w:rFonts w:ascii="Arial" w:hAnsi="Arial"/>
          <w:color w:val="282828"/>
          <w:sz w:val="20"/>
        </w:rPr>
        <w:t>Toàn bộ quy trình ứng tuyển và xét duyệt học bổng tài trợ tại HCMUS được chuẩn hóa qua 7 bước minh bạch:</w:t>
      </w:r>
    </w:p>
    <w:p>
      <w:pPr>
        <w:pStyle w:val="ListBullet"/>
        <w:spacing w:before="20" w:after="40" w:line="276" w:lineRule="auto"/>
      </w:pPr>
      <w:r>
        <w:rPr>
          <w:rFonts w:ascii="Arial" w:hAnsi="Arial"/>
          <w:b/>
          <w:color w:val="1E1E1E"/>
          <w:sz w:val="20"/>
        </w:rPr>
        <w:t xml:space="preserve">1. </w:t>
      </w:r>
      <w:r>
        <w:rPr>
          <w:rFonts w:ascii="Arial" w:hAnsi="Arial"/>
          <w:color w:val="282828"/>
          <w:sz w:val="20"/>
        </w:rPr>
        <w:t>Bước 1 - Tiếp nhận thông báo: P.CTSV đăng tải thông báo chi tiết về tiêu chuẩn, số lượng suất và hạn nộp trên website ctsv.hcmus.edu.vn và Fanpage chính thức.</w:t>
      </w:r>
    </w:p>
    <w:p>
      <w:pPr>
        <w:pStyle w:val="ListBullet"/>
        <w:spacing w:before="20" w:after="40" w:line="276" w:lineRule="auto"/>
      </w:pPr>
      <w:r>
        <w:rPr>
          <w:rFonts w:ascii="Arial" w:hAnsi="Arial"/>
          <w:b/>
          <w:color w:val="1E1E1E"/>
          <w:sz w:val="20"/>
        </w:rPr>
        <w:t xml:space="preserve">2. </w:t>
      </w:r>
      <w:r>
        <w:rPr>
          <w:rFonts w:ascii="Arial" w:hAnsi="Arial"/>
          <w:color w:val="282828"/>
          <w:sz w:val="20"/>
        </w:rPr>
        <w:t>Bước 2 - Chuẩn bị hồ sơ: Sinh viên tải biểu mẫu, chuẩn bị bản sao bảng điểm có xác nhận của Phòng Đào tạo, minh chứng ĐRL, viết bài luận SoP và chuẩn bị thư giới thiệu nếu yêu cầu.</w:t>
      </w:r>
    </w:p>
    <w:p>
      <w:pPr>
        <w:pStyle w:val="ListBullet"/>
        <w:spacing w:before="20" w:after="40" w:line="276" w:lineRule="auto"/>
      </w:pPr>
      <w:r>
        <w:rPr>
          <w:rFonts w:ascii="Arial" w:hAnsi="Arial"/>
          <w:b/>
          <w:color w:val="1E1E1E"/>
          <w:sz w:val="20"/>
        </w:rPr>
        <w:t xml:space="preserve">3. </w:t>
      </w:r>
      <w:r>
        <w:rPr>
          <w:rFonts w:ascii="Arial" w:hAnsi="Arial"/>
          <w:color w:val="282828"/>
          <w:sz w:val="20"/>
        </w:rPr>
        <w:t>Bước 3 - Nộp hồ sơ ứng tuyển: Nộp hồ sơ trực tuyến qua Google Form/Portal học bổng hoặc nộp bộ hồ sơ giấy tại Phòng B04 trước thời hạn quy định.</w:t>
      </w:r>
    </w:p>
    <w:p>
      <w:pPr>
        <w:pStyle w:val="ListBullet"/>
        <w:spacing w:before="20" w:after="40" w:line="276" w:lineRule="auto"/>
      </w:pPr>
      <w:r>
        <w:rPr>
          <w:rFonts w:ascii="Arial" w:hAnsi="Arial"/>
          <w:b/>
          <w:color w:val="1E1E1E"/>
          <w:sz w:val="20"/>
        </w:rPr>
        <w:t xml:space="preserve">4. </w:t>
      </w:r>
      <w:r>
        <w:rPr>
          <w:rFonts w:ascii="Arial" w:hAnsi="Arial"/>
          <w:color w:val="282828"/>
          <w:sz w:val="20"/>
        </w:rPr>
        <w:t>Bước 4 - Thẩm định sơ bộ cấp trường: Hội đồng xét duyệt của trường kiểm tra đối chiếu tính xác thực của bảng điểm, tình trạng kỷ luật và hoàn cảnh gia đình.</w:t>
      </w:r>
    </w:p>
    <w:p>
      <w:pPr>
        <w:pStyle w:val="ListBullet"/>
        <w:spacing w:before="20" w:after="40" w:line="276" w:lineRule="auto"/>
      </w:pPr>
      <w:r>
        <w:rPr>
          <w:rFonts w:ascii="Arial" w:hAnsi="Arial"/>
          <w:b/>
          <w:color w:val="1E1E1E"/>
          <w:sz w:val="20"/>
        </w:rPr>
        <w:t xml:space="preserve">5. </w:t>
      </w:r>
      <w:r>
        <w:rPr>
          <w:rFonts w:ascii="Arial" w:hAnsi="Arial"/>
          <w:color w:val="282828"/>
          <w:sz w:val="20"/>
        </w:rPr>
        <w:t>Bước 5 - Phỏng vấn đánh giá (Interview): Ban Giám khảo gồm đại diện Quỹ tài trợ doanh nghiệp và đại diện nhà trường tiến hành phỏng vấn trực tiếp các ứng viên xuất sắc.</w:t>
      </w:r>
    </w:p>
    <w:p>
      <w:pPr>
        <w:pStyle w:val="ListBullet"/>
        <w:spacing w:before="20" w:after="40" w:line="276" w:lineRule="auto"/>
      </w:pPr>
      <w:r>
        <w:rPr>
          <w:rFonts w:ascii="Arial" w:hAnsi="Arial"/>
          <w:b/>
          <w:color w:val="1E1E1E"/>
          <w:sz w:val="20"/>
        </w:rPr>
        <w:t xml:space="preserve">6. </w:t>
      </w:r>
      <w:r>
        <w:rPr>
          <w:rFonts w:ascii="Arial" w:hAnsi="Arial"/>
          <w:color w:val="282828"/>
          <w:sz w:val="20"/>
        </w:rPr>
        <w:t>Bước 6 - Công bố kết quả chính thức: Danh sách sinh viên trúng tuyển được phê duyệt bằng Quyết định cấp học bổng của Hiệu trưởng và thông báo trên website.</w:t>
      </w:r>
    </w:p>
    <w:p>
      <w:pPr>
        <w:pStyle w:val="ListBullet"/>
        <w:spacing w:before="20" w:after="40" w:line="276" w:lineRule="auto"/>
      </w:pPr>
      <w:r>
        <w:rPr>
          <w:rFonts w:ascii="Arial" w:hAnsi="Arial"/>
          <w:b/>
          <w:color w:val="1E1E1E"/>
          <w:sz w:val="20"/>
        </w:rPr>
        <w:t xml:space="preserve">7. </w:t>
      </w:r>
      <w:r>
        <w:rPr>
          <w:rFonts w:ascii="Arial" w:hAnsi="Arial"/>
          <w:color w:val="282828"/>
          <w:sz w:val="20"/>
        </w:rPr>
        <w:t>Bước 7 - Lễ trao học bổng &amp; Giải ngân: Sinh viên tham dự Lễ trao học bổng trang trọng, nhận Giấy chứng nhận và nhận kinh phí chuyển khoản vào tài khoản cá nhân.</w:t>
      </w:r>
    </w:p>
    <w:p>
      <w:pPr>
        <w:keepNext/>
        <w:spacing w:before="280" w:after="80"/>
      </w:pPr>
      <w:r>
        <w:rPr>
          <w:rFonts w:ascii="Arial" w:hAnsi="Arial"/>
          <w:b/>
          <w:color w:val="003366"/>
          <w:sz w:val="26"/>
        </w:rPr>
        <w:t>PHẦN 7: BÍ QUYẾT ỨNG TUYỂN HỌC BỔNG: VIẾT SOP &amp; KỸ NĂNG PHỎNG VẤN ĐỈNH CAO</w:t>
      </w:r>
    </w:p>
    <w:p>
      <w:pPr>
        <w:keepNext/>
        <w:spacing w:before="200" w:after="60"/>
      </w:pPr>
      <w:r>
        <w:rPr>
          <w:rFonts w:ascii="Arial" w:hAnsi="Arial"/>
          <w:b/>
          <w:color w:val="006699"/>
          <w:sz w:val="23"/>
        </w:rPr>
        <w:t>1. Cấu Trúc Bức Thư Bày Tỏ Nguyện Vọng (Statement of Purpose - SoP) Chuẩn Mực</w:t>
      </w:r>
    </w:p>
    <w:p>
      <w:pPr>
        <w:pStyle w:val="ListBullet"/>
        <w:spacing w:before="20" w:after="40" w:line="276" w:lineRule="auto"/>
      </w:pPr>
      <w:r>
        <w:rPr>
          <w:rFonts w:ascii="Arial" w:hAnsi="Arial"/>
          <w:b/>
          <w:color w:val="1E1E1E"/>
          <w:sz w:val="20"/>
        </w:rPr>
        <w:t xml:space="preserve">• Đoạn 1: </w:t>
      </w:r>
      <w:r>
        <w:rPr>
          <w:rFonts w:ascii="Arial" w:hAnsi="Arial"/>
          <w:color w:val="282828"/>
          <w:sz w:val="20"/>
        </w:rPr>
        <w:t>Đoạn 1 - Giới thiệu bản thân &amp; Lý do ứng tuyển: Nêu bật họ tên, ngành học, đam mê khoa học và động lực cụ thể thúc đẩy bạn nộp hồ sơ vào quỹ học bổng.</w:t>
      </w:r>
    </w:p>
    <w:p>
      <w:pPr>
        <w:pStyle w:val="ListBullet"/>
        <w:spacing w:before="20" w:after="40" w:line="276" w:lineRule="auto"/>
      </w:pPr>
      <w:r>
        <w:rPr>
          <w:rFonts w:ascii="Arial" w:hAnsi="Arial"/>
          <w:b/>
          <w:color w:val="1E1E1E"/>
          <w:sz w:val="20"/>
        </w:rPr>
        <w:t xml:space="preserve">• Đoạn 2: </w:t>
      </w:r>
      <w:r>
        <w:rPr>
          <w:rFonts w:ascii="Arial" w:hAnsi="Arial"/>
          <w:color w:val="282828"/>
          <w:sz w:val="20"/>
        </w:rPr>
        <w:t>Đoạn 2 - Thành tích học thuật &amp; Nghiên cứu: Trình bày cô đọng về GPA, các dự án Lab, đề tài NCKH, giải thưởng học thuật đã đạt được.</w:t>
      </w:r>
    </w:p>
    <w:p>
      <w:pPr>
        <w:pStyle w:val="ListBullet"/>
        <w:spacing w:before="20" w:after="40" w:line="276" w:lineRule="auto"/>
      </w:pPr>
      <w:r>
        <w:rPr>
          <w:rFonts w:ascii="Arial" w:hAnsi="Arial"/>
          <w:b/>
          <w:color w:val="1E1E1E"/>
          <w:sz w:val="20"/>
        </w:rPr>
        <w:t xml:space="preserve">• Đoạn 3: </w:t>
      </w:r>
      <w:r>
        <w:rPr>
          <w:rFonts w:ascii="Arial" w:hAnsi="Arial"/>
          <w:color w:val="282828"/>
          <w:sz w:val="20"/>
        </w:rPr>
        <w:t>Đoạn 3 - Hoạt động ngoại khóa &amp; Trách nhiệm cộng đồng: Chứng minh bạn là người năng động, nhân ái thông qua các chiến dịch tình nguyện, câu lạc bộ, phong trào Đoàn - Hội.</w:t>
      </w:r>
    </w:p>
    <w:p>
      <w:pPr>
        <w:pStyle w:val="ListBullet"/>
        <w:spacing w:before="20" w:after="40" w:line="276" w:lineRule="auto"/>
      </w:pPr>
      <w:r>
        <w:rPr>
          <w:rFonts w:ascii="Arial" w:hAnsi="Arial"/>
          <w:b/>
          <w:color w:val="1E1E1E"/>
          <w:sz w:val="20"/>
        </w:rPr>
        <w:t xml:space="preserve">• Đoạn 4: </w:t>
      </w:r>
      <w:r>
        <w:rPr>
          <w:rFonts w:ascii="Arial" w:hAnsi="Arial"/>
          <w:color w:val="282828"/>
          <w:sz w:val="20"/>
        </w:rPr>
        <w:t>Đoạn 4 - Hoàn cảnh tài chính &amp; Sự cần thiết của học bổng: Trình bày trung thực, xúc động nhưng giữ vững lòng tự trọng về áp lực tài chính gia đình và việc học bổng sẽ giải phóng bạn khỏi gánh nặng mưu sinh như thế nào.</w:t>
      </w:r>
    </w:p>
    <w:p>
      <w:pPr>
        <w:pStyle w:val="ListBullet"/>
        <w:spacing w:before="20" w:after="40" w:line="276" w:lineRule="auto"/>
      </w:pPr>
      <w:r>
        <w:rPr>
          <w:rFonts w:ascii="Arial" w:hAnsi="Arial"/>
          <w:b/>
          <w:color w:val="1E1E1E"/>
          <w:sz w:val="20"/>
        </w:rPr>
        <w:t xml:space="preserve">• Đoạn 5: </w:t>
      </w:r>
      <w:r>
        <w:rPr>
          <w:rFonts w:ascii="Arial" w:hAnsi="Arial"/>
          <w:color w:val="282828"/>
          <w:sz w:val="20"/>
        </w:rPr>
        <w:t>Đoạn 5 - Kế hoạch tương lai &amp; Cam kết đóng góp: Mục tiêu nghề nghiệp 3 - 5 năm tới và cam kết tạo giá trị hồi đáp cho cộng đồng và ngôi trường HCMUS.</w:t>
      </w:r>
    </w:p>
    <w:p>
      <w:pPr>
        <w:keepNext/>
        <w:spacing w:before="200" w:after="60"/>
      </w:pPr>
      <w:r>
        <w:rPr>
          <w:rFonts w:ascii="Arial" w:hAnsi="Arial"/>
          <w:b/>
          <w:color w:val="006699"/>
          <w:sz w:val="23"/>
        </w:rPr>
        <w:t>2. Hướng Dẫn Xin Thư Giới Thiệu (Letter of Recommendation - LoR) Từ Giảng Viên</w:t>
      </w:r>
    </w:p>
    <w:p>
      <w:pPr>
        <w:pStyle w:val="ListBullet"/>
        <w:spacing w:before="20" w:after="40" w:line="276" w:lineRule="auto"/>
      </w:pPr>
      <w:r>
        <w:rPr>
          <w:rFonts w:ascii="Arial" w:hAnsi="Arial"/>
          <w:b/>
          <w:color w:val="1E1E1E"/>
          <w:sz w:val="20"/>
        </w:rPr>
        <w:t xml:space="preserve">• Chọn người: </w:t>
      </w:r>
      <w:r>
        <w:rPr>
          <w:rFonts w:ascii="Arial" w:hAnsi="Arial"/>
          <w:color w:val="282828"/>
          <w:sz w:val="20"/>
        </w:rPr>
        <w:t>Lựa chọn người giới thiệu: Nên chọn Cố vấn học vụ, Giảng viên bộ môn dạy bạn đạt điểm A, hoặc Trưởng phòng thí nghiệm hướng dẫn NCKH.</w:t>
      </w:r>
    </w:p>
    <w:p>
      <w:pPr>
        <w:pStyle w:val="ListBullet"/>
        <w:spacing w:before="20" w:after="40" w:line="276" w:lineRule="auto"/>
      </w:pPr>
      <w:r>
        <w:rPr>
          <w:rFonts w:ascii="Arial" w:hAnsi="Arial"/>
          <w:b/>
          <w:color w:val="1E1E1E"/>
          <w:sz w:val="20"/>
        </w:rPr>
        <w:t xml:space="preserve">• Tài liệu: </w:t>
      </w:r>
      <w:r>
        <w:rPr>
          <w:rFonts w:ascii="Arial" w:hAnsi="Arial"/>
          <w:color w:val="282828"/>
          <w:sz w:val="20"/>
        </w:rPr>
        <w:t>Cung cấp đầy đủ tài liệu: Gửi trước cho thầy/cô bản CV học thuật cá nhân, bảng điểm quá trình, bản nháp bài luận SoP và đường link thông tin quỹ học bổng.</w:t>
      </w:r>
    </w:p>
    <w:p>
      <w:pPr>
        <w:pStyle w:val="ListBullet"/>
        <w:spacing w:before="20" w:after="40" w:line="276" w:lineRule="auto"/>
      </w:pPr>
      <w:r>
        <w:rPr>
          <w:rFonts w:ascii="Arial" w:hAnsi="Arial"/>
          <w:b/>
          <w:color w:val="1E1E1E"/>
          <w:sz w:val="20"/>
        </w:rPr>
        <w:t xml:space="preserve">• Thời gian: </w:t>
      </w:r>
      <w:r>
        <w:rPr>
          <w:rFonts w:ascii="Arial" w:hAnsi="Arial"/>
          <w:color w:val="282828"/>
          <w:sz w:val="20"/>
        </w:rPr>
        <w:t>Thời gian liên hệ: Liên hệ giảng viên trước hạn nộp ít nhất 10 đến 14 ngày làm việc, gửi email trang trọng và có lời cảm ơn chân thành.</w:t>
      </w:r>
    </w:p>
    <w:p>
      <w:pPr>
        <w:keepNext/>
        <w:spacing w:before="200" w:after="60"/>
      </w:pPr>
      <w:r>
        <w:rPr>
          <w:rFonts w:ascii="Arial" w:hAnsi="Arial"/>
          <w:b/>
          <w:color w:val="006699"/>
          <w:sz w:val="23"/>
        </w:rPr>
        <w:t>3. Kỹ Thuật Phỏng Vấn Trực Tiếp Cùng Nhà Tài Trợ Quốc Tế</w:t>
      </w:r>
    </w:p>
    <w:p>
      <w:pPr>
        <w:pStyle w:val="ListBullet"/>
        <w:spacing w:before="20" w:after="40" w:line="276" w:lineRule="auto"/>
      </w:pPr>
      <w:r>
        <w:rPr>
          <w:rFonts w:ascii="Arial" w:hAnsi="Arial"/>
          <w:b/>
          <w:color w:val="1E1E1E"/>
          <w:sz w:val="20"/>
        </w:rPr>
        <w:t xml:space="preserve">• Mô hình STAR: </w:t>
      </w:r>
      <w:r>
        <w:rPr>
          <w:rFonts w:ascii="Arial" w:hAnsi="Arial"/>
          <w:color w:val="282828"/>
          <w:sz w:val="20"/>
        </w:rPr>
        <w:t>Phương pháp trả lời STAR: Situation (Tình huống) -&gt; Task (Nhiệm vụ) -&gt; Action (Hành động quyết đoán của bạn) -&gt; Result (Kết quả định lượng cụ thể).</w:t>
      </w:r>
    </w:p>
    <w:p>
      <w:pPr>
        <w:pStyle w:val="ListBullet"/>
        <w:spacing w:before="20" w:after="40" w:line="276" w:lineRule="auto"/>
      </w:pPr>
      <w:r>
        <w:rPr>
          <w:rFonts w:ascii="Arial" w:hAnsi="Arial"/>
          <w:b/>
          <w:color w:val="1E1E1E"/>
          <w:sz w:val="20"/>
        </w:rPr>
        <w:t xml:space="preserve">• Tác phong: </w:t>
      </w:r>
      <w:r>
        <w:rPr>
          <w:rFonts w:ascii="Arial" w:hAnsi="Arial"/>
          <w:color w:val="282828"/>
          <w:sz w:val="20"/>
        </w:rPr>
        <w:t>Trang phục &amp; Tác phong: Trang phục công sở trang nhã (áo sơ mi trắng, quần tây/váy tối màu), đến trước giờ phỏng vấn ít nhất 15 phút, phong thái tự tin, ánh mắt chân thành.</w:t>
      </w:r>
    </w:p>
    <w:p>
      <w:pPr>
        <w:pStyle w:val="ListBullet"/>
        <w:spacing w:before="20" w:after="40" w:line="276" w:lineRule="auto"/>
      </w:pPr>
      <w:r>
        <w:rPr>
          <w:rFonts w:ascii="Arial" w:hAnsi="Arial"/>
          <w:b/>
          <w:color w:val="1E1E1E"/>
          <w:sz w:val="20"/>
        </w:rPr>
        <w:t xml:space="preserve">• Câu hỏi ngược: </w:t>
      </w:r>
      <w:r>
        <w:rPr>
          <w:rFonts w:ascii="Arial" w:hAnsi="Arial"/>
          <w:color w:val="282828"/>
          <w:sz w:val="20"/>
        </w:rPr>
        <w:t>Câu hỏi ngược thông minh: Luôn chuẩn bị 1-2 câu hỏi sâu sắc dành cho ban giám khảo vào cuối buổi phỏng vấn (ví dụ: 'Quỹ học bổng có kế hoạch mở rộng các chương trình cố vấn mentorship cho sinh viên trong tương lai không?').</w:t>
      </w:r>
    </w:p>
    <w:p>
      <w:pPr>
        <w:keepNext/>
        <w:spacing w:before="280" w:after="80"/>
      </w:pPr>
      <w:r>
        <w:rPr>
          <w:rFonts w:ascii="Arial" w:hAnsi="Arial"/>
          <w:b/>
          <w:color w:val="003366"/>
          <w:sz w:val="26"/>
        </w:rPr>
        <w:t>PHẦN 8: NGUYÊN TẮC NHẬN ĐỒNG THỜI NHIỀU NGUỒN HỌC BỔNG</w:t>
      </w:r>
    </w:p>
    <w:p>
      <w:pPr>
        <w:spacing w:before="40" w:after="60" w:line="276" w:lineRule="auto"/>
      </w:pPr>
      <w:r>
        <w:rPr>
          <w:rFonts w:ascii="Arial" w:hAnsi="Arial"/>
          <w:b/>
          <w:color w:val="1E1E1E"/>
          <w:sz w:val="20"/>
        </w:rPr>
        <w:t xml:space="preserve">Nguyên tắc kết hợp: </w:t>
      </w:r>
      <w:r>
        <w:rPr>
          <w:rFonts w:ascii="Arial" w:hAnsi="Arial"/>
          <w:color w:val="282828"/>
          <w:sz w:val="20"/>
        </w:rPr>
        <w:t>Quy chế quản lý học bổng của Nhà trường quy định rõ về việc thụ hưởng tài chính:</w:t>
      </w:r>
    </w:p>
    <w:p>
      <w:pPr>
        <w:pStyle w:val="ListBullet"/>
        <w:spacing w:before="20" w:after="40" w:line="276" w:lineRule="auto"/>
      </w:pPr>
      <w:r>
        <w:rPr>
          <w:rFonts w:ascii="Arial" w:hAnsi="Arial"/>
          <w:b/>
          <w:color w:val="1E1E1E"/>
          <w:sz w:val="20"/>
        </w:rPr>
        <w:t xml:space="preserve">• KKHT + Doanh nghiệp: </w:t>
      </w:r>
      <w:r>
        <w:rPr>
          <w:rFonts w:ascii="Arial" w:hAnsi="Arial"/>
          <w:color w:val="282828"/>
          <w:sz w:val="20"/>
        </w:rPr>
        <w:t>Học bổng KKHT và Học bổng Doanh nghiệp: Sinh viên ĐƯỢC PHÉP nhận đồng thời Học bổng Khuyến khích học tập (ngân sách trường) và 01 học bổng tài trợ của doanh nghiệp hoặc tổ chức quốc tế trong cùng một học kỳ.</w:t>
      </w:r>
    </w:p>
    <w:p>
      <w:pPr>
        <w:pStyle w:val="ListBullet"/>
        <w:spacing w:before="20" w:after="40" w:line="276" w:lineRule="auto"/>
      </w:pPr>
      <w:r>
        <w:rPr>
          <w:rFonts w:ascii="Arial" w:hAnsi="Arial"/>
          <w:b/>
          <w:color w:val="1E1E1E"/>
          <w:sz w:val="20"/>
        </w:rPr>
        <w:t xml:space="preserve">• Doanh nghiệp + Doanh nghiệp: </w:t>
      </w:r>
      <w:r>
        <w:rPr>
          <w:rFonts w:ascii="Arial" w:hAnsi="Arial"/>
          <w:color w:val="282828"/>
          <w:sz w:val="20"/>
        </w:rPr>
        <w:t>Giữa các Học bổng Doanh nghiệp với nhau: Mỗi sinh viên CHỈ ĐƯỢC NHẬN 01 học bổng tài trợ doanh nghiệp/quốc tế trong cùng một năm học (nhằm đảm bảo tính công bằng và chia sẻ cơ hội cho nhiều sinh viên khó khăn khác). Nếu trúng tuyển 2 quỹ học bổng doanh nghiệp, sinh viên phải chọn 1 và nhường suất còn lại cho sinh viên kế tiếp.</w:t>
      </w:r>
    </w:p>
    <w:p>
      <w:pPr>
        <w:pStyle w:val="ListBullet"/>
        <w:spacing w:before="20" w:after="40" w:line="276" w:lineRule="auto"/>
      </w:pPr>
      <w:r>
        <w:rPr>
          <w:rFonts w:ascii="Arial" w:hAnsi="Arial"/>
          <w:b/>
          <w:color w:val="1E1E1E"/>
          <w:sz w:val="20"/>
        </w:rPr>
        <w:t xml:space="preserve">• MGHP + Học bổng: </w:t>
      </w:r>
      <w:r>
        <w:rPr>
          <w:rFonts w:ascii="Arial" w:hAnsi="Arial"/>
          <w:color w:val="282828"/>
          <w:sz w:val="20"/>
        </w:rPr>
        <w:t>Miễn giảm học phí và Học bổng: Sinh viên thuộc diện được miễn 100% học phí theo Nghị định 81 VẪN ĐƯỢC quyền nhận đầy đủ học bổng KKHT và học bổng doanh nghiệp nếu đáp ứng đủ điều kiện học tập.</w:t>
      </w:r>
    </w:p>
    <w:p>
      <w:pPr>
        <w:keepNext/>
        <w:spacing w:before="280" w:after="80"/>
      </w:pPr>
      <w:r>
        <w:rPr>
          <w:rFonts w:ascii="Arial" w:hAnsi="Arial"/>
          <w:b/>
          <w:color w:val="003366"/>
          <w:sz w:val="26"/>
        </w:rPr>
        <w:t>PHẦN 9: GIẢI ĐÁP 10 TÌNH HUỐNG HỌC BỔNG &amp; CHÍNH SÁCH THỰC CHIẾN (FAQ ENGINE)</w:t>
      </w:r>
    </w:p>
    <w:p>
      <w:pPr>
        <w:pStyle w:val="ListBullet"/>
        <w:spacing w:before="20" w:after="40" w:line="276" w:lineRule="auto"/>
      </w:pPr>
      <w:r>
        <w:rPr>
          <w:rFonts w:ascii="Arial" w:hAnsi="Arial"/>
          <w:b/>
          <w:color w:val="1E1E1E"/>
          <w:sz w:val="20"/>
        </w:rPr>
        <w:t xml:space="preserve">• FAQ 1: </w:t>
      </w:r>
      <w:r>
        <w:rPr>
          <w:rFonts w:ascii="Arial" w:hAnsi="Arial"/>
          <w:color w:val="282828"/>
          <w:sz w:val="20"/>
        </w:rPr>
        <w:t>Tình huống 1: Sinh viên Chất lượng cao nhận học bổng KKHT theo mức nào? -&gt; Trả lời: Mức học bổng KKHT của sinh viên Chương trình Đề án (CLC/CTTT) được tính theo định mức học phí của chính chương trình Đề án đó (không cào bằng theo mức chương trình Chuẩn).</w:t>
      </w:r>
    </w:p>
    <w:p>
      <w:pPr>
        <w:pStyle w:val="ListBullet"/>
        <w:spacing w:before="20" w:after="40" w:line="276" w:lineRule="auto"/>
      </w:pPr>
      <w:r>
        <w:rPr>
          <w:rFonts w:ascii="Arial" w:hAnsi="Arial"/>
          <w:b/>
          <w:color w:val="1E1E1E"/>
          <w:sz w:val="20"/>
        </w:rPr>
        <w:t xml:space="preserve">• FAQ 2: </w:t>
      </w:r>
      <w:r>
        <w:rPr>
          <w:rFonts w:ascii="Arial" w:hAnsi="Arial"/>
          <w:color w:val="282828"/>
          <w:sz w:val="20"/>
        </w:rPr>
        <w:t>Tình huống 2: Bị trượt 1 môn nhưng GPA trên 3.2 có được xét học bổng KKHT không? -&gt; Trả lời: KHÔNG. Điều kiện bắt buộc của học bổng KKHT là sinh viên không được có bất kỳ học phần nào bị điểm F trong học kỳ đó.</w:t>
      </w:r>
    </w:p>
    <w:p>
      <w:pPr>
        <w:pStyle w:val="ListBullet"/>
        <w:spacing w:before="20" w:after="40" w:line="276" w:lineRule="auto"/>
      </w:pPr>
      <w:r>
        <w:rPr>
          <w:rFonts w:ascii="Arial" w:hAnsi="Arial"/>
          <w:b/>
          <w:color w:val="1E1E1E"/>
          <w:sz w:val="20"/>
        </w:rPr>
        <w:t xml:space="preserve">• FAQ 3: </w:t>
      </w:r>
      <w:r>
        <w:rPr>
          <w:rFonts w:ascii="Arial" w:hAnsi="Arial"/>
          <w:color w:val="282828"/>
          <w:sz w:val="20"/>
        </w:rPr>
        <w:t>Tình huống 3: Hồ sơ miễn giảm học phí nộp 1 lần hay mỗi kỳ đều phải nộp? -&gt; Trả lời: Đơn đề nghị và bản sao CCCD chỉ cần nộp 1 lần cho cả khóa học. Riêng các đối tượng chứng minh theo năm như Giấy chứng nhận hộ nghèo/cận nghèo thì bắt buộc phải nộp bổ sung vào đầu mỗi năm học để cập nhật thời hạn.</w:t>
      </w:r>
    </w:p>
    <w:p>
      <w:pPr>
        <w:pStyle w:val="ListBullet"/>
        <w:spacing w:before="20" w:after="40" w:line="276" w:lineRule="auto"/>
      </w:pPr>
      <w:r>
        <w:rPr>
          <w:rFonts w:ascii="Arial" w:hAnsi="Arial"/>
          <w:b/>
          <w:color w:val="1E1E1E"/>
          <w:sz w:val="20"/>
        </w:rPr>
        <w:t xml:space="preserve">• FAQ 4: </w:t>
      </w:r>
      <w:r>
        <w:rPr>
          <w:rFonts w:ascii="Arial" w:hAnsi="Arial"/>
          <w:color w:val="282828"/>
          <w:sz w:val="20"/>
        </w:rPr>
        <w:t>Tình huống 4: Gia đình thoát nghèo trong năm học thì có bị cắt miễn giảm học phí ngay không? -&gt; Trả lời: Sinh viên vẫn được hưởng chế độ miễn giảm học phí cho đến hết năm học đó. Việc điều chỉnh sẽ được áp dụng từ năm học tiếp theo khi kiểm tra đối chiếu sổ hộ nghèo mới.</w:t>
      </w:r>
    </w:p>
    <w:p>
      <w:pPr>
        <w:pStyle w:val="ListBullet"/>
        <w:spacing w:before="20" w:after="40" w:line="276" w:lineRule="auto"/>
      </w:pPr>
      <w:r>
        <w:rPr>
          <w:rFonts w:ascii="Arial" w:hAnsi="Arial"/>
          <w:b/>
          <w:color w:val="1E1E1E"/>
          <w:sz w:val="20"/>
        </w:rPr>
        <w:t xml:space="preserve">• FAQ 5: </w:t>
      </w:r>
      <w:r>
        <w:rPr>
          <w:rFonts w:ascii="Arial" w:hAnsi="Arial"/>
          <w:color w:val="282828"/>
          <w:sz w:val="20"/>
        </w:rPr>
        <w:t>Tình huống 5: Sinh viên đang nợ học phí có được nộp đơn xin học bổng doanh nghiệp không? -&gt; Trả lời: Tùy từng quỹ. Hầu hết các học bổng vượt khó (như Hessen, Lawrence S. Ting, KOVA) vẫn tiếp nhận hồ sơ của sinh viên nợ phí để hỗ trợ kịp thời giải quyết nợ. Một số học bổng tài năng yêu cầu sinh viên phải có tình trạng học vụ hoàn toàn trong sạch.</w:t>
      </w:r>
    </w:p>
    <w:p>
      <w:pPr>
        <w:pStyle w:val="ListBullet"/>
        <w:spacing w:before="20" w:after="40" w:line="276" w:lineRule="auto"/>
      </w:pPr>
      <w:r>
        <w:rPr>
          <w:rFonts w:ascii="Arial" w:hAnsi="Arial"/>
          <w:b/>
          <w:color w:val="1E1E1E"/>
          <w:sz w:val="20"/>
        </w:rPr>
        <w:t xml:space="preserve">• FAQ 6: </w:t>
      </w:r>
      <w:r>
        <w:rPr>
          <w:rFonts w:ascii="Arial" w:hAnsi="Arial"/>
          <w:color w:val="282828"/>
          <w:sz w:val="20"/>
        </w:rPr>
        <w:t>Tình huống 6: Điểm rèn luyện loại Khá (75 điểm) có cơ hội nhận học bổng doanh nghiệp không? -&gt; Trả lời: Có cơ hội lớn tại các học bổng vượt khó hoặc học bổng định hướng NCKH (như KOVA Nghị lực, Lawrence S. Ting), vì các quỹ này ưu tiên hoàn cảnh và ý chí vươn lên hơn là điểm rèn luyện.</w:t>
      </w:r>
    </w:p>
    <w:p>
      <w:pPr>
        <w:pStyle w:val="ListBullet"/>
        <w:spacing w:before="20" w:after="40" w:line="276" w:lineRule="auto"/>
      </w:pPr>
      <w:r>
        <w:rPr>
          <w:rFonts w:ascii="Arial" w:hAnsi="Arial"/>
          <w:b/>
          <w:color w:val="1E1E1E"/>
          <w:sz w:val="20"/>
        </w:rPr>
        <w:t xml:space="preserve">• FAQ 7: </w:t>
      </w:r>
      <w:r>
        <w:rPr>
          <w:rFonts w:ascii="Arial" w:hAnsi="Arial"/>
          <w:color w:val="282828"/>
          <w:sz w:val="20"/>
        </w:rPr>
        <w:t>Tình huống 7: Tiền học bổng KKHT được nhận bằng cách nào? -&gt; Trả lời: Tiền học bổng KKHT được Phòng Kế hoạch - Tài chính chuyển khoản trực tiếp 100% vào tài khoản thẻ ngân hàng của sinh viên đã đăng ký, KHÔNG tự động cấn trừ vào học phí kỳ tiếp theo.</w:t>
      </w:r>
    </w:p>
    <w:p>
      <w:pPr>
        <w:pStyle w:val="ListBullet"/>
        <w:spacing w:before="20" w:after="40" w:line="276" w:lineRule="auto"/>
      </w:pPr>
      <w:r>
        <w:rPr>
          <w:rFonts w:ascii="Arial" w:hAnsi="Arial"/>
          <w:b/>
          <w:color w:val="1E1E1E"/>
          <w:sz w:val="20"/>
        </w:rPr>
        <w:t xml:space="preserve">• FAQ 8: </w:t>
      </w:r>
      <w:r>
        <w:rPr>
          <w:rFonts w:ascii="Arial" w:hAnsi="Arial"/>
          <w:color w:val="282828"/>
          <w:sz w:val="20"/>
        </w:rPr>
        <w:t>Tình huống 8: Xin giấy xác nhận hoàn cảnh khó khăn ở đâu? -&gt; Trả lời: Sinh viên liên hệ UBND xã/phường nơi có hộ khẩu thường trú để xin Giấy xác nhận gia đình có hoàn cảnh khó khăn có chữ ký của Chủ tịch UBND và đóng dấu đỏ.</w:t>
      </w:r>
    </w:p>
    <w:p>
      <w:pPr>
        <w:pStyle w:val="ListBullet"/>
        <w:spacing w:before="20" w:after="40" w:line="276" w:lineRule="auto"/>
      </w:pPr>
      <w:r>
        <w:rPr>
          <w:rFonts w:ascii="Arial" w:hAnsi="Arial"/>
          <w:b/>
          <w:color w:val="1E1E1E"/>
          <w:sz w:val="20"/>
        </w:rPr>
        <w:t xml:space="preserve">• FAQ 9: </w:t>
      </w:r>
      <w:r>
        <w:rPr>
          <w:rFonts w:ascii="Arial" w:hAnsi="Arial"/>
          <w:color w:val="282828"/>
          <w:sz w:val="20"/>
        </w:rPr>
        <w:t>Tình huống 9: Sinh viên nghỉ học tạm thời có được nhận tiền học bổng của kỳ trước khi nghỉ không? -&gt; Trả lời: ĐƯỢC. Nếu kết quả học tập của kỳ trước đó đủ điều kiện nhận học bổng, nhà trường vẫn chi trả đầy đủ tiền học bổng vào tài khoản sinh viên.</w:t>
      </w:r>
    </w:p>
    <w:p>
      <w:pPr>
        <w:pStyle w:val="ListBullet"/>
        <w:spacing w:before="20" w:after="40" w:line="276" w:lineRule="auto"/>
      </w:pPr>
      <w:r>
        <w:rPr>
          <w:rFonts w:ascii="Arial" w:hAnsi="Arial"/>
          <w:b/>
          <w:color w:val="1E1E1E"/>
          <w:sz w:val="20"/>
        </w:rPr>
        <w:t xml:space="preserve">• FAQ 10: </w:t>
      </w:r>
      <w:r>
        <w:rPr>
          <w:rFonts w:ascii="Arial" w:hAnsi="Arial"/>
          <w:color w:val="282828"/>
          <w:sz w:val="20"/>
        </w:rPr>
        <w:t>Tình huống 10: Nhà tài trợ công bố trao học bổng nhưng chưa nhận được tiền thì liên hệ ai? -&gt; Trả lời: Sinh viên mang theo CCCD và thẻ sinh viên đến trực tiếp Phòng CTSV (Phòng B04 CS1) gặp cán bộ phụ trách mảng học bổng doanh nghiệp để đối soát danh sách giải ngân.</w:t>
      </w:r>
    </w:p>
    <w:p>
      <w:pPr>
        <w:keepNext/>
        <w:spacing w:before="280" w:after="80"/>
      </w:pPr>
      <w:r>
        <w:rPr>
          <w:rFonts w:ascii="Arial" w:hAnsi="Arial"/>
          <w:b/>
          <w:color w:val="003366"/>
          <w:sz w:val="26"/>
        </w:rPr>
        <w:t>PHẦN 10: DANH BẠ ĐẦU MỐI PHÒNG CÔNG TÁC SINH VIÊN &amp; HỖ TRỢ HỌC BỔNG</w:t>
      </w:r>
    </w:p>
    <w:p>
      <w:pPr>
        <w:spacing w:before="40" w:after="60" w:line="276" w:lineRule="auto"/>
      </w:pPr>
      <w:r>
        <w:rPr>
          <w:rFonts w:ascii="Arial" w:hAnsi="Arial"/>
          <w:color w:val="282828"/>
          <w:sz w:val="20"/>
        </w:rPr>
        <w:t>Mọi thắc mắc về hồ sơ học bổng, miễn giảm học phí và vay vốn sinh viên liên hệ trực tiếp:</w:t>
      </w:r>
    </w:p>
    <w:tbl>
      <w:tblPr>
        <w:tblW w:type="auto" w:w="0"/>
        <w:jc w:val="center"/>
        <w:tblLayout w:type="fixed"/>
        <w:tblLook w:firstColumn="1" w:firstRow="1" w:lastColumn="0" w:lastRow="0" w:noHBand="0" w:noVBand="1" w:val="04A0"/>
      </w:tblPr>
      <w:tblGrid>
        <w:gridCol w:w="2484"/>
        <w:gridCol w:w="2484"/>
        <w:gridCol w:w="2484"/>
        <w:gridCol w:w="2484"/>
      </w:tblGrid>
      <w:tr>
        <w:tc>
          <w:tcPr>
            <w:tcW w:type="dxa" w:w="2880"/>
            <w:shd w:val="clear" w:color="auto" w:fill="003366"/>
            <w:tcMar>
              <w:top w:w="100" w:type="dxa"/>
              <w:bottom w:w="100" w:type="dxa"/>
              <w:left w:w="120" w:type="dxa"/>
              <w:right w:w="120" w:type="dxa"/>
            </w:tcMar>
          </w:tcPr>
          <w:p>
            <w:pPr>
              <w:jc w:val="center"/>
            </w:pPr>
            <w:r>
              <w:rPr>
                <w:rFonts w:ascii="Arial" w:hAnsi="Arial"/>
                <w:b/>
                <w:color w:val="FFFFFF"/>
                <w:sz w:val="19"/>
              </w:rPr>
              <w:t>Kênh Tiếp Nhận</w:t>
            </w:r>
          </w:p>
        </w:tc>
        <w:tc>
          <w:tcPr>
            <w:tcW w:type="dxa" w:w="2880"/>
            <w:shd w:val="clear" w:color="auto" w:fill="003366"/>
            <w:tcMar>
              <w:top w:w="100" w:type="dxa"/>
              <w:bottom w:w="100" w:type="dxa"/>
              <w:left w:w="120" w:type="dxa"/>
              <w:right w:w="120" w:type="dxa"/>
            </w:tcMar>
          </w:tcPr>
          <w:p>
            <w:pPr>
              <w:jc w:val="center"/>
            </w:pPr>
            <w:r>
              <w:rPr>
                <w:rFonts w:ascii="Arial" w:hAnsi="Arial"/>
                <w:b/>
                <w:color w:val="FFFFFF"/>
                <w:sz w:val="19"/>
              </w:rPr>
              <w:t>Địa Chỉ Trực Tiếp</w:t>
            </w:r>
          </w:p>
        </w:tc>
        <w:tc>
          <w:tcPr>
            <w:tcW w:type="dxa" w:w="2592"/>
            <w:shd w:val="clear" w:color="auto" w:fill="003366"/>
            <w:tcMar>
              <w:top w:w="100" w:type="dxa"/>
              <w:bottom w:w="100" w:type="dxa"/>
              <w:left w:w="120" w:type="dxa"/>
              <w:right w:w="120" w:type="dxa"/>
            </w:tcMar>
          </w:tcPr>
          <w:p>
            <w:pPr>
              <w:jc w:val="center"/>
            </w:pPr>
            <w:r>
              <w:rPr>
                <w:rFonts w:ascii="Arial" w:hAnsi="Arial"/>
                <w:b/>
                <w:color w:val="FFFFFF"/>
                <w:sz w:val="19"/>
              </w:rPr>
              <w:t>Thời Gian Làm Việc</w:t>
            </w:r>
          </w:p>
        </w:tc>
        <w:tc>
          <w:tcPr>
            <w:tcW w:type="dxa" w:w="4608"/>
            <w:shd w:val="clear" w:color="auto" w:fill="003366"/>
            <w:tcMar>
              <w:top w:w="100" w:type="dxa"/>
              <w:bottom w:w="100" w:type="dxa"/>
              <w:left w:w="120" w:type="dxa"/>
              <w:right w:w="120" w:type="dxa"/>
            </w:tcMar>
          </w:tcPr>
          <w:p>
            <w:pPr>
              <w:jc w:val="center"/>
            </w:pPr>
            <w:r>
              <w:rPr>
                <w:rFonts w:ascii="Arial" w:hAnsi="Arial"/>
                <w:b/>
                <w:color w:val="FFFFFF"/>
                <w:sz w:val="19"/>
              </w:rPr>
              <w:t>Nghiệp Vụ Hỗ Trợ Chuyên Sâu</w:t>
            </w:r>
          </w:p>
        </w:tc>
      </w:tr>
      <w:tr>
        <w:tc>
          <w:tcPr>
            <w:tcW w:type="dxa" w:w="2880"/>
            <w:shd w:val="clear" w:color="auto" w:fill="FFFFFF"/>
            <w:tcMar>
              <w:top w:w="80" w:type="dxa"/>
              <w:bottom w:w="80" w:type="dxa"/>
              <w:left w:w="100" w:type="dxa"/>
              <w:right w:w="100" w:type="dxa"/>
            </w:tcMar>
          </w:tcPr>
          <w:p>
            <w:pPr>
              <w:jc w:val="center"/>
            </w:pPr>
            <w:r>
              <w:rPr>
                <w:rFonts w:ascii="Arial" w:hAnsi="Arial"/>
                <w:color w:val="282828"/>
                <w:sz w:val="18"/>
              </w:rPr>
              <w:t>Bộ phận Học bổng &amp; Chính sách P.CTSV (CS1)</w:t>
            </w:r>
          </w:p>
        </w:tc>
        <w:tc>
          <w:tcPr>
            <w:tcW w:type="dxa" w:w="2880"/>
            <w:shd w:val="clear" w:color="auto" w:fill="FFFFFF"/>
            <w:tcMar>
              <w:top w:w="80" w:type="dxa"/>
              <w:bottom w:w="80" w:type="dxa"/>
              <w:left w:w="100" w:type="dxa"/>
              <w:right w:w="100" w:type="dxa"/>
            </w:tcMar>
          </w:tcPr>
          <w:p>
            <w:pPr>
              <w:jc w:val="left"/>
            </w:pPr>
            <w:r>
              <w:rPr>
                <w:rFonts w:ascii="Arial" w:hAnsi="Arial"/>
                <w:color w:val="282828"/>
                <w:sz w:val="18"/>
              </w:rPr>
              <w:t>Phòng B04, Tòa nhà B, 227 Nguyễn Văn Cừ, Q.5</w:t>
            </w:r>
          </w:p>
        </w:tc>
        <w:tc>
          <w:tcPr>
            <w:tcW w:type="dxa" w:w="2592"/>
            <w:shd w:val="clear" w:color="auto" w:fill="FFFFFF"/>
            <w:tcMar>
              <w:top w:w="80" w:type="dxa"/>
              <w:bottom w:w="80" w:type="dxa"/>
              <w:left w:w="100" w:type="dxa"/>
              <w:right w:w="100" w:type="dxa"/>
            </w:tcMar>
          </w:tcPr>
          <w:p>
            <w:pPr>
              <w:jc w:val="left"/>
            </w:pPr>
            <w:r>
              <w:rPr>
                <w:rFonts w:ascii="Arial" w:hAnsi="Arial"/>
                <w:color w:val="282828"/>
                <w:sz w:val="18"/>
              </w:rPr>
              <w:t>Sáng: 07:30 - 11:30, Chiều: 13:00 - 16:30 (Thứ 2 - Thứ 6)</w:t>
            </w:r>
          </w:p>
        </w:tc>
        <w:tc>
          <w:tcPr>
            <w:tcW w:type="dxa" w:w="4608"/>
            <w:shd w:val="clear" w:color="auto" w:fill="FFFFFF"/>
            <w:tcMar>
              <w:top w:w="80" w:type="dxa"/>
              <w:bottom w:w="80" w:type="dxa"/>
              <w:left w:w="100" w:type="dxa"/>
              <w:right w:w="100" w:type="dxa"/>
            </w:tcMar>
          </w:tcPr>
          <w:p>
            <w:pPr>
              <w:jc w:val="left"/>
            </w:pPr>
            <w:r>
              <w:rPr>
                <w:rFonts w:ascii="Arial" w:hAnsi="Arial"/>
                <w:color w:val="282828"/>
                <w:sz w:val="18"/>
              </w:rPr>
              <w:t>Tiếp nhận hồ sơ học bổng tài trợ, miễn giảm học phí NĐ 81, trợ cấp xã hội, hồ sơ vay vốn VBSP.</w:t>
            </w:r>
          </w:p>
        </w:tc>
      </w:tr>
      <w:tr>
        <w:tc>
          <w:tcPr>
            <w:tcW w:type="dxa" w:w="2880"/>
            <w:shd w:val="clear" w:color="auto" w:fill="F9FBFC"/>
            <w:tcMar>
              <w:top w:w="80" w:type="dxa"/>
              <w:bottom w:w="80" w:type="dxa"/>
              <w:left w:w="100" w:type="dxa"/>
              <w:right w:w="100" w:type="dxa"/>
            </w:tcMar>
          </w:tcPr>
          <w:p>
            <w:pPr>
              <w:jc w:val="center"/>
            </w:pPr>
            <w:r>
              <w:rPr>
                <w:rFonts w:ascii="Arial" w:hAnsi="Arial"/>
                <w:color w:val="282828"/>
                <w:sz w:val="18"/>
              </w:rPr>
              <w:t>Bộ phận Công tác Sinh viên (CS2 Linh Trung)</w:t>
            </w:r>
          </w:p>
        </w:tc>
        <w:tc>
          <w:tcPr>
            <w:tcW w:type="dxa" w:w="2880"/>
            <w:shd w:val="clear" w:color="auto" w:fill="F9FBFC"/>
            <w:tcMar>
              <w:top w:w="80" w:type="dxa"/>
              <w:bottom w:w="80" w:type="dxa"/>
              <w:left w:w="100" w:type="dxa"/>
              <w:right w:w="100" w:type="dxa"/>
            </w:tcMar>
          </w:tcPr>
          <w:p>
            <w:pPr>
              <w:jc w:val="left"/>
            </w:pPr>
            <w:r>
              <w:rPr>
                <w:rFonts w:ascii="Arial" w:hAnsi="Arial"/>
                <w:color w:val="282828"/>
                <w:sz w:val="18"/>
              </w:rPr>
              <w:t>Phòng C11, Tòa nhà C, CS2 Linh Trung, Thủ Đức</w:t>
            </w:r>
          </w:p>
        </w:tc>
        <w:tc>
          <w:tcPr>
            <w:tcW w:type="dxa" w:w="2592"/>
            <w:shd w:val="clear" w:color="auto" w:fill="F9FBFC"/>
            <w:tcMar>
              <w:top w:w="80" w:type="dxa"/>
              <w:bottom w:w="80" w:type="dxa"/>
              <w:left w:w="100" w:type="dxa"/>
              <w:right w:w="100" w:type="dxa"/>
            </w:tcMar>
          </w:tcPr>
          <w:p>
            <w:pPr>
              <w:jc w:val="left"/>
            </w:pPr>
            <w:r>
              <w:rPr>
                <w:rFonts w:ascii="Arial" w:hAnsi="Arial"/>
                <w:color w:val="282828"/>
                <w:sz w:val="18"/>
              </w:rPr>
              <w:t>Sáng: 08:00 - 11:30, Chiều: 13:00 - 16:00 (Thứ 2 - Thứ 6)</w:t>
            </w:r>
          </w:p>
        </w:tc>
        <w:tc>
          <w:tcPr>
            <w:tcW w:type="dxa" w:w="4608"/>
            <w:shd w:val="clear" w:color="auto" w:fill="F9FBFC"/>
            <w:tcMar>
              <w:top w:w="80" w:type="dxa"/>
              <w:bottom w:w="80" w:type="dxa"/>
              <w:left w:w="100" w:type="dxa"/>
              <w:right w:w="100" w:type="dxa"/>
            </w:tcMar>
          </w:tcPr>
          <w:p>
            <w:pPr>
              <w:jc w:val="left"/>
            </w:pPr>
            <w:r>
              <w:rPr>
                <w:rFonts w:ascii="Arial" w:hAnsi="Arial"/>
                <w:color w:val="282828"/>
                <w:sz w:val="18"/>
              </w:rPr>
              <w:t>Hỗ trợ sinh viên các khóa 2024, 2025 nộp hồ sơ chính sách và giải đáp thắc mắc.</w:t>
            </w:r>
          </w:p>
        </w:tc>
      </w:tr>
      <w:tr>
        <w:tc>
          <w:tcPr>
            <w:tcW w:type="dxa" w:w="2880"/>
            <w:shd w:val="clear" w:color="auto" w:fill="FFFFFF"/>
            <w:tcMar>
              <w:top w:w="80" w:type="dxa"/>
              <w:bottom w:w="80" w:type="dxa"/>
              <w:left w:w="100" w:type="dxa"/>
              <w:right w:w="100" w:type="dxa"/>
            </w:tcMar>
          </w:tcPr>
          <w:p>
            <w:pPr>
              <w:jc w:val="center"/>
            </w:pPr>
            <w:r>
              <w:rPr>
                <w:rFonts w:ascii="Arial" w:hAnsi="Arial"/>
                <w:color w:val="282828"/>
                <w:sz w:val="18"/>
              </w:rPr>
              <w:t>Cổng thông tin &amp; Email chính thức</w:t>
            </w:r>
          </w:p>
        </w:tc>
        <w:tc>
          <w:tcPr>
            <w:tcW w:type="dxa" w:w="2880"/>
            <w:shd w:val="clear" w:color="auto" w:fill="FFFFFF"/>
            <w:tcMar>
              <w:top w:w="80" w:type="dxa"/>
              <w:bottom w:w="80" w:type="dxa"/>
              <w:left w:w="100" w:type="dxa"/>
              <w:right w:w="100" w:type="dxa"/>
            </w:tcMar>
          </w:tcPr>
          <w:p>
            <w:pPr>
              <w:jc w:val="left"/>
            </w:pPr>
            <w:r>
              <w:rPr>
                <w:rFonts w:ascii="Arial" w:hAnsi="Arial"/>
                <w:color w:val="282828"/>
                <w:sz w:val="18"/>
              </w:rPr>
              <w:t>Website: ctsv.hcmus.edu.vn | Email: ctsv@hcmus.edu.vn</w:t>
            </w:r>
          </w:p>
        </w:tc>
        <w:tc>
          <w:tcPr>
            <w:tcW w:type="dxa" w:w="2592"/>
            <w:shd w:val="clear" w:color="auto" w:fill="FFFFFF"/>
            <w:tcMar>
              <w:top w:w="80" w:type="dxa"/>
              <w:bottom w:w="80" w:type="dxa"/>
              <w:left w:w="100" w:type="dxa"/>
              <w:right w:w="100" w:type="dxa"/>
            </w:tcMar>
          </w:tcPr>
          <w:p>
            <w:pPr>
              <w:jc w:val="left"/>
            </w:pPr>
            <w:r>
              <w:rPr>
                <w:rFonts w:ascii="Arial" w:hAnsi="Arial"/>
                <w:color w:val="282828"/>
                <w:sz w:val="18"/>
              </w:rPr>
              <w:t>Phản hồi trực tuyến trong 24 - 48 giờ làm việc</w:t>
            </w:r>
          </w:p>
        </w:tc>
        <w:tc>
          <w:tcPr>
            <w:tcW w:type="dxa" w:w="4608"/>
            <w:shd w:val="clear" w:color="auto" w:fill="FFFFFF"/>
            <w:tcMar>
              <w:top w:w="80" w:type="dxa"/>
              <w:bottom w:w="80" w:type="dxa"/>
              <w:left w:w="100" w:type="dxa"/>
              <w:right w:w="100" w:type="dxa"/>
            </w:tcMar>
          </w:tcPr>
          <w:p>
            <w:pPr>
              <w:jc w:val="left"/>
            </w:pPr>
            <w:r>
              <w:rPr>
                <w:rFonts w:ascii="Arial" w:hAnsi="Arial"/>
                <w:color w:val="282828"/>
                <w:sz w:val="18"/>
              </w:rPr>
              <w:t>Đăng tải toàn bộ thông báo học bổng mới, biểu mẫu tải về và danh sách xét duyệt.</w:t>
            </w:r>
          </w:p>
        </w:tc>
      </w:tr>
      <w:tr>
        <w:tc>
          <w:tcPr>
            <w:tcW w:type="dxa" w:w="2880"/>
            <w:shd w:val="clear" w:color="auto" w:fill="F9FBFC"/>
            <w:tcMar>
              <w:top w:w="80" w:type="dxa"/>
              <w:bottom w:w="80" w:type="dxa"/>
              <w:left w:w="100" w:type="dxa"/>
              <w:right w:w="100" w:type="dxa"/>
            </w:tcMar>
          </w:tcPr>
          <w:p>
            <w:pPr>
              <w:jc w:val="center"/>
            </w:pPr>
            <w:r>
              <w:rPr>
                <w:rFonts w:ascii="Arial" w:hAnsi="Arial"/>
                <w:color w:val="282828"/>
                <w:sz w:val="18"/>
              </w:rPr>
              <w:t>Đường dây nóng hỗ trợ khẩn cấp</w:t>
            </w:r>
          </w:p>
        </w:tc>
        <w:tc>
          <w:tcPr>
            <w:tcW w:type="dxa" w:w="2880"/>
            <w:shd w:val="clear" w:color="auto" w:fill="F9FBFC"/>
            <w:tcMar>
              <w:top w:w="80" w:type="dxa"/>
              <w:bottom w:w="80" w:type="dxa"/>
              <w:left w:w="100" w:type="dxa"/>
              <w:right w:w="100" w:type="dxa"/>
            </w:tcMar>
          </w:tcPr>
          <w:p>
            <w:pPr>
              <w:jc w:val="left"/>
            </w:pPr>
            <w:r>
              <w:rPr>
                <w:rFonts w:ascii="Arial" w:hAnsi="Arial"/>
                <w:color w:val="282828"/>
                <w:sz w:val="18"/>
              </w:rPr>
              <w:t>Hotline: (028) 62884499 (ext 1500 hoặc 1501)</w:t>
            </w:r>
          </w:p>
        </w:tc>
        <w:tc>
          <w:tcPr>
            <w:tcW w:type="dxa" w:w="2592"/>
            <w:shd w:val="clear" w:color="auto" w:fill="F9FBFC"/>
            <w:tcMar>
              <w:top w:w="80" w:type="dxa"/>
              <w:bottom w:w="80" w:type="dxa"/>
              <w:left w:w="100" w:type="dxa"/>
              <w:right w:w="100" w:type="dxa"/>
            </w:tcMar>
          </w:tcPr>
          <w:p>
            <w:pPr>
              <w:jc w:val="left"/>
            </w:pPr>
            <w:r>
              <w:rPr>
                <w:rFonts w:ascii="Arial" w:hAnsi="Arial"/>
                <w:color w:val="282828"/>
                <w:sz w:val="18"/>
              </w:rPr>
              <w:t>Trong giờ hành chính</w:t>
            </w:r>
          </w:p>
        </w:tc>
        <w:tc>
          <w:tcPr>
            <w:tcW w:type="dxa" w:w="4608"/>
            <w:shd w:val="clear" w:color="auto" w:fill="F9FBFC"/>
            <w:tcMar>
              <w:top w:w="80" w:type="dxa"/>
              <w:bottom w:w="80" w:type="dxa"/>
              <w:left w:w="100" w:type="dxa"/>
              <w:right w:w="100" w:type="dxa"/>
            </w:tcMar>
          </w:tcPr>
          <w:p>
            <w:pPr>
              <w:jc w:val="left"/>
            </w:pPr>
            <w:r>
              <w:rPr>
                <w:rFonts w:ascii="Arial" w:hAnsi="Arial"/>
                <w:color w:val="282828"/>
                <w:sz w:val="18"/>
              </w:rPr>
              <w:t>Giải đáp các sự cố về giải ngân học bổng hoặc nợ chứng từ chính sách.</w:t>
            </w:r>
          </w:p>
        </w:tc>
      </w:tr>
    </w:tbl>
    <w:p>
      <w:pPr>
        <w:spacing w:before="0" w:after="80"/>
      </w:pP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