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Phiếu chuyển tiếp nhu cầu</w:t>
      </w:r>
    </w:p>
    <w:p>
      <w:r>
        <w:t>Mẫu hướng dẫn dùng khi chưa có gọi agent tự động. Không phải xác nhận yêu cầu đã được chuyển.</w:t>
      </w:r>
    </w:p>
    <w:p>
      <w:pPr>
        <w:pStyle w:val="ListBullet"/>
      </w:pPr>
      <w:r>
        <w:t>Nhu cầu cần xử lý: …</w:t>
      </w:r>
    </w:p>
    <w:p>
      <w:pPr>
        <w:pStyle w:val="ListBullet"/>
      </w:pPr>
      <w:r>
        <w:t>Agent phù hợp: …</w:t>
      </w:r>
    </w:p>
    <w:p>
      <w:pPr>
        <w:pStyle w:val="ListBullet"/>
      </w:pPr>
      <w:r>
        <w:t>Vì sao chọn agent này: …</w:t>
      </w:r>
    </w:p>
    <w:p>
      <w:pPr>
        <w:pStyle w:val="ListBullet"/>
      </w:pPr>
      <w:r>
        <w:t>Tóm tắt thông tin liên quan đã biết: …</w:t>
      </w:r>
    </w:p>
    <w:p>
      <w:pPr>
        <w:pStyle w:val="ListBullet"/>
      </w:pPr>
      <w:r>
        <w:t>Thông tin còn thiếu: …</w:t>
      </w:r>
    </w:p>
    <w:p>
      <w:pPr>
        <w:pStyle w:val="ListBullet"/>
      </w:pPr>
      <w:r>
        <w:t>Kết quả mong đợi: …</w:t>
      </w:r>
    </w:p>
    <w:p>
      <w:pPr>
        <w:pStyle w:val="ListBullet"/>
      </w:pPr>
      <w:r>
        <w:t>Cần hoàn thành việc gì trước: … / Không có phụ thuộc.</w:t>
      </w:r>
    </w:p>
    <w:p>
      <w:r>
        <w:t>Chỉ điền dữ liệu được phép và cần thiết theo quan hệ bàn giao. Không dán mật khẩu, MSSV, toàn bộ bảng điểm hoặc hồ sơ riêng. Nếu chưa có URL triển khai, tìm agent theo tên trong không gian được nhóm cấu hình. Khi có kết quả, giữ cả nguồn và giới hạn để tổng hợp.</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