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003366"/>
          <w:sz w:val="34"/>
        </w:rPr>
        <w:t>TÀI LIỆU CƠ SỞ TRI THỨC BẬC CAO TOÀN DIỆN (ULTIMATE MASTER KNOWLEDGE BASE)</w:t>
        <w:br/>
        <w:t>KHAI THÁC THƯ VIỆN, CƠ SỞ DỮ LIỆU HỌC THUẬT SỐ, NGHIÊN CỨU KHOA HỌC &amp; LIÊM CHÍNH</w:t>
      </w:r>
    </w:p>
    <w:p>
      <w:pPr>
        <w:spacing w:after="320"/>
        <w:jc w:val="center"/>
      </w:pPr>
      <w:r>
        <w:rPr>
          <w:rFonts w:ascii="Arial" w:hAnsi="Arial"/>
          <w:i/>
          <w:color w:val="555555"/>
          <w:sz w:val="21"/>
        </w:rPr>
        <w:t>HCMUS SMART CAMPUS – SUB-SPACE 02: DỊCH VỤ &amp; ĐỜI SỐNG SINH VIÊN</w:t>
        <w:br/>
        <w:t>AGENT: LIBRARY &amp; RESEARCH DISCOVERY AGENT (library-research-agent)</w:t>
        <w:br/>
        <w:t>Nguồn tài liệu: Sổ tay Sinh viên 2025-2026, CSDL Thư viện Trung tâm ĐHQG-HCM, Quy chế Khảo thí &amp; NCKH</w:t>
      </w:r>
    </w:p>
    <w:tbl>
      <w:tblPr>
        <w:tblW w:type="auto" w:w="0"/>
        <w:jc w:val="center"/>
        <w:tblLook w:firstColumn="1" w:firstRow="1" w:lastColumn="0" w:lastRow="0" w:noHBand="0" w:noVBand="1" w:val="04A0"/>
      </w:tblPr>
      <w:tblGrid>
        <w:gridCol w:w="8640"/>
      </w:tblGrid>
      <w:tr>
        <w:tc>
          <w:tcPr>
            <w:tcW w:type="dxa" w:w="8640"/>
            <w:shd w:fill="F0F4F8"/>
            <w:tcMar>
              <w:top w:w="120" w:type="dxa"/>
              <w:bottom w:w="120" w:type="dxa"/>
              <w:left w:w="180" w:type="dxa"/>
              <w:right w:w="180" w:type="dxa"/>
            </w:tcMar>
            <w:tcBorders>
              <w:left w:val="single" w:sz="24" w:color="003366"/>
              <w:top w:val="none"/>
              <w:bottom w:val="none"/>
              <w:right w:val="none"/>
            </w:tcBorders>
          </w:tcPr>
          <w:p>
            <w:pPr>
              <w:spacing w:after="40" w:line="276" w:lineRule="auto"/>
            </w:pPr>
            <w:r>
              <w:rPr>
                <w:rFonts w:ascii="Arial" w:hAnsi="Arial"/>
                <w:b/>
                <w:color w:val="003366"/>
                <w:sz w:val="20"/>
              </w:rPr>
              <w:t xml:space="preserve">TỔNG QUAN TÀI LIỆU CƠ SỞ TRI THỨC: </w:t>
            </w:r>
            <w:r>
              <w:rPr>
                <w:rFonts w:ascii="Arial" w:hAnsi="Arial"/>
                <w:sz w:val="19"/>
              </w:rPr>
              <w:t>Tài liệu này là Cơ sở Tri thức Master đồ sộ của Library &amp; Research Discovery Agent. Hợp nhất toàn bộ quy chế hoạt động của Thư viện HCMUS (Cơ sở 1 &amp; Cơ sở 2), Hệ thống Thư viện ĐHQG-HCM, cẩm nang khai thác 15+ CSDL điện tử quốc tế (IEEE, ScienceDirect, SpringerLink...), hướng dẫn EZproxy truy cập từ xa, phương pháp tìm kiếm Boolean, phần mềm quản lý trích dẫn (Zotero, Mendeley) và quy chuẩn liêm chính Turnitin.</w:t>
            </w:r>
          </w:p>
        </w:tc>
      </w:tr>
    </w:tbl>
    <w:p>
      <w:pPr>
        <w:spacing w:after="80"/>
      </w:pPr>
    </w:p>
    <w:p>
      <w:r>
        <w:br w:type="page"/>
      </w:r>
    </w:p>
    <w:p>
      <w:pPr>
        <w:keepNext/>
        <w:spacing w:before="360" w:after="160"/>
      </w:pPr>
      <w:r>
        <w:rPr>
          <w:rFonts w:ascii="Arial" w:hAnsi="Arial"/>
          <w:b/>
          <w:color w:val="003366"/>
          <w:sz w:val="30"/>
        </w:rPr>
        <w:t>PHẦN 1: TỔNG QUAN HỆ THỐNG THƯ VIỆN TRƯỜNG ĐH KHTN &amp; ĐHQG-HCM</w:t>
      </w:r>
    </w:p>
    <w:p>
      <w:pPr>
        <w:keepNext/>
        <w:spacing w:before="240" w:after="100"/>
      </w:pPr>
      <w:r>
        <w:rPr>
          <w:rFonts w:ascii="Arial" w:hAnsi="Arial"/>
          <w:b/>
          <w:color w:val="1B5E94"/>
          <w:sz w:val="24"/>
        </w:rPr>
        <w:t>1.1 Không Gian Dịch Vụ Thư Viện Tại Hai Cơ Sở</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003366"/>
            <w:tcMar>
              <w:top w:w="100" w:type="dxa"/>
              <w:bottom w:w="100" w:type="dxa"/>
              <w:left w:w="120" w:type="dxa"/>
              <w:right w:w="120" w:type="dxa"/>
            </w:tcMar>
          </w:tcPr>
          <w:p>
            <w:pPr>
              <w:jc w:val="center"/>
            </w:pPr>
            <w:r>
              <w:rPr>
                <w:rFonts w:ascii="Arial" w:hAnsi="Arial"/>
                <w:b/>
                <w:color w:val="FFFFFF"/>
                <w:sz w:val="19"/>
              </w:rPr>
              <w:t>Cơ Sở Phục Vụ</w:t>
            </w:r>
          </w:p>
        </w:tc>
        <w:tc>
          <w:tcPr>
            <w:tcW w:type="dxa" w:w="2880"/>
            <w:shd w:fill="003366"/>
            <w:tcMar>
              <w:top w:w="100" w:type="dxa"/>
              <w:bottom w:w="100" w:type="dxa"/>
              <w:left w:w="120" w:type="dxa"/>
              <w:right w:w="120" w:type="dxa"/>
            </w:tcMar>
          </w:tcPr>
          <w:p>
            <w:pPr>
              <w:jc w:val="center"/>
            </w:pPr>
            <w:r>
              <w:rPr>
                <w:rFonts w:ascii="Arial" w:hAnsi="Arial"/>
                <w:b/>
                <w:color w:val="FFFFFF"/>
                <w:sz w:val="19"/>
              </w:rPr>
              <w:t>Vị Trí &amp; Không Gian</w:t>
            </w:r>
          </w:p>
        </w:tc>
        <w:tc>
          <w:tcPr>
            <w:tcW w:type="dxa" w:w="3456"/>
            <w:shd w:fill="003366"/>
            <w:tcMar>
              <w:top w:w="100" w:type="dxa"/>
              <w:bottom w:w="100" w:type="dxa"/>
              <w:left w:w="120" w:type="dxa"/>
              <w:right w:w="120" w:type="dxa"/>
            </w:tcMar>
          </w:tcPr>
          <w:p>
            <w:pPr>
              <w:jc w:val="center"/>
            </w:pPr>
            <w:r>
              <w:rPr>
                <w:rFonts w:ascii="Arial" w:hAnsi="Arial"/>
                <w:b/>
                <w:color w:val="FFFFFF"/>
                <w:sz w:val="19"/>
              </w:rPr>
              <w:t>Chức Năng &amp; Trang Thiết Bị</w:t>
            </w:r>
          </w:p>
        </w:tc>
        <w:tc>
          <w:tcPr>
            <w:tcW w:type="dxa" w:w="2592"/>
            <w:shd w:fill="003366"/>
            <w:tcMar>
              <w:top w:w="100" w:type="dxa"/>
              <w:bottom w:w="100" w:type="dxa"/>
              <w:left w:w="120" w:type="dxa"/>
              <w:right w:w="120" w:type="dxa"/>
            </w:tcMar>
          </w:tcPr>
          <w:p>
            <w:pPr>
              <w:jc w:val="center"/>
            </w:pPr>
            <w:r>
              <w:rPr>
                <w:rFonts w:ascii="Arial" w:hAnsi="Arial"/>
                <w:b/>
                <w:color w:val="FFFFFF"/>
                <w:sz w:val="19"/>
              </w:rPr>
              <w:t>Giờ Mở Cửa Phục Vụ</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Cơ sở 1 (Quận 5)</w:t>
              <w:br/>
              <w:t>227 Nguyễn Văn Cừ</w:t>
            </w:r>
          </w:p>
        </w:tc>
        <w:tc>
          <w:tcPr>
            <w:tcW w:type="dxa" w:w="2880"/>
            <w:shd w:fill="FFFFFF"/>
            <w:tcMar>
              <w:top w:w="80" w:type="dxa"/>
              <w:bottom w:w="80" w:type="dxa"/>
              <w:left w:w="120" w:type="dxa"/>
              <w:right w:w="120" w:type="dxa"/>
            </w:tcMar>
          </w:tcPr>
          <w:p>
            <w:pPr>
              <w:spacing w:after="0" w:line="264" w:lineRule="auto"/>
            </w:pPr>
            <w:r>
              <w:rPr>
                <w:rFonts w:ascii="Arial" w:hAnsi="Arial"/>
                <w:sz w:val="18"/>
              </w:rPr>
              <w:t>Tòa nhà Thư viện (Nhà I)</w:t>
              <w:br/>
              <w:t>• Lầu 9: Phòng đọc tổng hợp</w:t>
              <w:br/>
              <w:t>• Lầu 10: Phòng NCKH &amp; Học nhóm</w:t>
            </w:r>
          </w:p>
        </w:tc>
        <w:tc>
          <w:tcPr>
            <w:tcW w:type="dxa" w:w="3456"/>
            <w:shd w:fill="FFFFFF"/>
            <w:tcMar>
              <w:top w:w="80" w:type="dxa"/>
              <w:bottom w:w="80" w:type="dxa"/>
              <w:left w:w="120" w:type="dxa"/>
              <w:right w:w="120" w:type="dxa"/>
            </w:tcMar>
          </w:tcPr>
          <w:p>
            <w:pPr>
              <w:spacing w:after="0" w:line="264" w:lineRule="auto"/>
            </w:pPr>
            <w:r>
              <w:rPr>
                <w:rFonts w:ascii="Arial" w:hAnsi="Arial"/>
                <w:sz w:val="18"/>
              </w:rPr>
              <w:t>• Lầu 9: Kho sách giáo trình, tra cứu máy tính OPAC, quầy mượn trả, 300 chỗ ngồi tự học.</w:t>
              <w:br/>
              <w:t>• Lầu 10: Phòng đọc cao học, báo tạp chí chuyên ngành, 4 phòng học nhóm đa phương tiện (Smart TV, bảng kính, máy lạnh).</w:t>
            </w:r>
          </w:p>
        </w:tc>
        <w:tc>
          <w:tcPr>
            <w:tcW w:type="dxa" w:w="2592"/>
            <w:shd w:fill="FFFFFF"/>
            <w:tcMar>
              <w:top w:w="80" w:type="dxa"/>
              <w:bottom w:w="80" w:type="dxa"/>
              <w:left w:w="120" w:type="dxa"/>
              <w:right w:w="120" w:type="dxa"/>
            </w:tcMar>
          </w:tcPr>
          <w:p>
            <w:pPr>
              <w:spacing w:after="0" w:line="264" w:lineRule="auto"/>
            </w:pPr>
            <w:r>
              <w:rPr>
                <w:rFonts w:ascii="Arial" w:hAnsi="Arial"/>
                <w:sz w:val="18"/>
              </w:rPr>
              <w:t>• Thứ 2 - Thứ 6: 07:30 - 16:30</w:t>
              <w:br/>
              <w:t>(Mở rộng đến 18:30 mùa thi)</w:t>
              <w:br/>
              <w:t>• Thứ 7: 07:30 - 11:30</w:t>
              <w:br/>
              <w:t>• Chủ nhật &amp; Ngày lễ: Nghỉ</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Cơ sở 2 (Thủ Đức)</w:t>
              <w:br/>
              <w:t>Khu đô thị ĐHQG-HCM</w:t>
            </w:r>
          </w:p>
        </w:tc>
        <w:tc>
          <w:tcPr>
            <w:tcW w:type="dxa" w:w="2880"/>
            <w:shd w:fill="F4F8FA"/>
            <w:tcMar>
              <w:top w:w="80" w:type="dxa"/>
              <w:bottom w:w="80" w:type="dxa"/>
              <w:left w:w="120" w:type="dxa"/>
              <w:right w:w="120" w:type="dxa"/>
            </w:tcMar>
          </w:tcPr>
          <w:p>
            <w:pPr>
              <w:spacing w:after="0" w:line="264" w:lineRule="auto"/>
            </w:pPr>
            <w:r>
              <w:rPr>
                <w:rFonts w:ascii="Arial" w:hAnsi="Arial"/>
                <w:sz w:val="18"/>
              </w:rPr>
              <w:t>Dãy nhà C (Cơ sở Linh Trung)</w:t>
              <w:br/>
              <w:t>Trung tâm Thông tin - Thư viện</w:t>
            </w:r>
          </w:p>
        </w:tc>
        <w:tc>
          <w:tcPr>
            <w:tcW w:type="dxa" w:w="3456"/>
            <w:shd w:fill="F4F8FA"/>
            <w:tcMar>
              <w:top w:w="80" w:type="dxa"/>
              <w:bottom w:w="80" w:type="dxa"/>
              <w:left w:w="120" w:type="dxa"/>
              <w:right w:w="120" w:type="dxa"/>
            </w:tcMar>
          </w:tcPr>
          <w:p>
            <w:pPr>
              <w:spacing w:after="0" w:line="264" w:lineRule="auto"/>
            </w:pPr>
            <w:r>
              <w:rPr>
                <w:rFonts w:ascii="Arial" w:hAnsi="Arial"/>
                <w:sz w:val="18"/>
              </w:rPr>
              <w:t>• Không gian tự học mở (Learning Commons), kho sách đại cương Toán - Lý - Hóa - Sinh - CNTT.</w:t>
              <w:br/>
              <w:t>• Wifi tốc độ cao, máy tính tra cứu danh mục sách nhanh, khu vực đọc sách yên tĩnh.</w:t>
            </w:r>
          </w:p>
        </w:tc>
        <w:tc>
          <w:tcPr>
            <w:tcW w:type="dxa" w:w="2592"/>
            <w:shd w:fill="F4F8FA"/>
            <w:tcMar>
              <w:top w:w="80" w:type="dxa"/>
              <w:bottom w:w="80" w:type="dxa"/>
              <w:left w:w="120" w:type="dxa"/>
              <w:right w:w="120" w:type="dxa"/>
            </w:tcMar>
          </w:tcPr>
          <w:p>
            <w:pPr>
              <w:spacing w:after="0" w:line="264" w:lineRule="auto"/>
            </w:pPr>
            <w:r>
              <w:rPr>
                <w:rFonts w:ascii="Arial" w:hAnsi="Arial"/>
                <w:sz w:val="18"/>
              </w:rPr>
              <w:t>• Thứ 2 - Thứ 6: 07:30 - 16:30</w:t>
              <w:br/>
              <w:t>• Thứ 7, CN: Nghỉ</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Thư viện Trung tâm</w:t>
              <w:br/>
              <w:t>ĐHQG-HCM</w:t>
            </w:r>
          </w:p>
        </w:tc>
        <w:tc>
          <w:tcPr>
            <w:tcW w:type="dxa" w:w="2880"/>
            <w:shd w:fill="FFFFFF"/>
            <w:tcMar>
              <w:top w:w="80" w:type="dxa"/>
              <w:bottom w:w="80" w:type="dxa"/>
              <w:left w:w="120" w:type="dxa"/>
              <w:right w:w="120" w:type="dxa"/>
            </w:tcMar>
          </w:tcPr>
          <w:p>
            <w:pPr>
              <w:spacing w:after="0" w:line="264" w:lineRule="auto"/>
            </w:pPr>
            <w:r>
              <w:rPr>
                <w:rFonts w:ascii="Arial" w:hAnsi="Arial"/>
                <w:sz w:val="18"/>
              </w:rPr>
              <w:t>Khu đô thị ĐHQG-HCM (gần Nhà văn hóa Sinh viên)</w:t>
            </w:r>
          </w:p>
        </w:tc>
        <w:tc>
          <w:tcPr>
            <w:tcW w:type="dxa" w:w="3456"/>
            <w:shd w:fill="FFFFFF"/>
            <w:tcMar>
              <w:top w:w="80" w:type="dxa"/>
              <w:bottom w:w="80" w:type="dxa"/>
              <w:left w:w="120" w:type="dxa"/>
              <w:right w:w="120" w:type="dxa"/>
            </w:tcMar>
          </w:tcPr>
          <w:p>
            <w:pPr>
              <w:spacing w:after="0" w:line="264" w:lineRule="auto"/>
            </w:pPr>
            <w:r>
              <w:rPr>
                <w:rFonts w:ascii="Arial" w:hAnsi="Arial"/>
                <w:sz w:val="18"/>
              </w:rPr>
              <w:t>• Tòa nhà thư viện hiện đại bậc nhất khu vực phía Nam với sức chứa hơn 2.000 chỗ ngồi.</w:t>
              <w:br/>
              <w:t>• Trung tâm tích hợp toàn bộ cơ sở dữ liệu điện tử, kho tài liệu đa ngành ĐHQG-HCM.</w:t>
            </w:r>
          </w:p>
        </w:tc>
        <w:tc>
          <w:tcPr>
            <w:tcW w:type="dxa" w:w="2592"/>
            <w:shd w:fill="FFFFFF"/>
            <w:tcMar>
              <w:top w:w="80" w:type="dxa"/>
              <w:bottom w:w="80" w:type="dxa"/>
              <w:left w:w="120" w:type="dxa"/>
              <w:right w:w="120" w:type="dxa"/>
            </w:tcMar>
          </w:tcPr>
          <w:p>
            <w:pPr>
              <w:spacing w:after="0" w:line="264" w:lineRule="auto"/>
            </w:pPr>
            <w:r>
              <w:rPr>
                <w:rFonts w:ascii="Arial" w:hAnsi="Arial"/>
                <w:sz w:val="18"/>
              </w:rPr>
              <w:t>• Thứ 2 - Thứ 7: 08:00 - 17:00</w:t>
              <w:br/>
              <w:t>(Thẻ sinh viên HCMUS được tích hợp sử dụng trực tiếp)</w:t>
            </w:r>
          </w:p>
        </w:tc>
      </w:tr>
    </w:tbl>
    <w:p>
      <w:pPr>
        <w:spacing w:after="80"/>
      </w:pPr>
    </w:p>
    <w:p>
      <w:pPr>
        <w:keepNext/>
        <w:spacing w:before="240" w:after="100"/>
      </w:pPr>
      <w:r>
        <w:rPr>
          <w:rFonts w:ascii="Arial" w:hAnsi="Arial"/>
          <w:b/>
          <w:color w:val="1B5E94"/>
          <w:sz w:val="24"/>
        </w:rPr>
        <w:t>1.2 Quy Chế Mượn - Trả Sách &amp; Gia Hạn Online</w:t>
      </w:r>
    </w:p>
    <w:p>
      <w:pPr>
        <w:pStyle w:val="ListBullet"/>
        <w:spacing w:after="60" w:line="276" w:lineRule="auto"/>
      </w:pPr>
      <w:r>
        <w:rPr>
          <w:rFonts w:ascii="Arial" w:hAnsi="Arial"/>
          <w:b/>
          <w:sz w:val="20"/>
        </w:rPr>
        <w:t xml:space="preserve">Hạn mức mượn: </w:t>
      </w:r>
      <w:r>
        <w:rPr>
          <w:rFonts w:ascii="Arial" w:hAnsi="Arial"/>
          <w:sz w:val="20"/>
        </w:rPr>
        <w:t>Đối tượng sinh viên chính quy: Được mượn tối đa 03 - 05 cuốn sách giáo trình/tài liệu tham khảo mang về nhà cùng một lúc.</w:t>
      </w:r>
    </w:p>
    <w:p>
      <w:pPr>
        <w:pStyle w:val="ListBullet"/>
        <w:spacing w:after="60" w:line="276" w:lineRule="auto"/>
      </w:pPr>
      <w:r>
        <w:rPr>
          <w:rFonts w:ascii="Arial" w:hAnsi="Arial"/>
          <w:b/>
          <w:sz w:val="20"/>
        </w:rPr>
        <w:t xml:space="preserve">Thời gian mượn &amp; gia hạn: </w:t>
      </w:r>
      <w:r>
        <w:rPr>
          <w:rFonts w:ascii="Arial" w:hAnsi="Arial"/>
          <w:sz w:val="20"/>
        </w:rPr>
        <w:t>Thời hạn mượn: 14 ngày/lần mượn. Sinh viên được phép gia hạn online 01 lần thêm 07 ngày qua Cổng OPAC Thư viện nếu tài liệu đó chưa có người khác đặt trước.</w:t>
      </w:r>
    </w:p>
    <w:p>
      <w:pPr>
        <w:pStyle w:val="ListBullet"/>
        <w:spacing w:after="60" w:line="276" w:lineRule="auto"/>
      </w:pPr>
      <w:r>
        <w:rPr>
          <w:rFonts w:ascii="Arial" w:hAnsi="Arial"/>
          <w:b/>
          <w:sz w:val="20"/>
        </w:rPr>
        <w:t xml:space="preserve">Tài liệu hạn chế: </w:t>
      </w:r>
      <w:r>
        <w:rPr>
          <w:rFonts w:ascii="Arial" w:hAnsi="Arial"/>
          <w:sz w:val="20"/>
        </w:rPr>
        <w:t>Tài liệu đọc tại chỗ (Không mang về): Luận văn tốt nghiệp, luận án tiến sĩ, từ điển chuyên khảo, báo - tạp chí số mới nhất và sách quý hiếm chỉ được đọc tại phòng đọc.</w:t>
      </w:r>
    </w:p>
    <w:p>
      <w:pPr>
        <w:pStyle w:val="ListBullet"/>
        <w:spacing w:after="60" w:line="276" w:lineRule="auto"/>
      </w:pPr>
      <w:r>
        <w:rPr>
          <w:rFonts w:ascii="Arial" w:hAnsi="Arial"/>
          <w:b/>
          <w:sz w:val="20"/>
        </w:rPr>
        <w:t xml:space="preserve">Xử phạt &amp; Bồi thường: </w:t>
      </w:r>
      <w:r>
        <w:rPr>
          <w:rFonts w:ascii="Arial" w:hAnsi="Arial"/>
          <w:sz w:val="20"/>
        </w:rPr>
        <w:t>Xử lý trễ hạn &amp; bồi thường: Trả sách trễ hạn bị phạt phí theo ngày theo quy định thư viện. Làm mất sách hoặc hư hại: Bồi thường sách mới đúng ấn bản hoặc bồi thường gấp 2 - 3 lần giá trị bìa.</w:t>
      </w:r>
    </w:p>
    <w:p>
      <w:pPr>
        <w:keepNext/>
        <w:spacing w:before="240" w:after="100"/>
      </w:pPr>
      <w:r>
        <w:rPr>
          <w:rFonts w:ascii="Arial" w:hAnsi="Arial"/>
          <w:b/>
          <w:color w:val="1B5E94"/>
          <w:sz w:val="24"/>
        </w:rPr>
        <w:t>1.3 Quy Trình Đặt Phòng Học Nhóm Đa Phương Tiện (Lầu 10 Nhà I)</w:t>
      </w:r>
    </w:p>
    <w:p>
      <w:pPr>
        <w:spacing w:after="80" w:line="276" w:lineRule="auto"/>
      </w:pPr>
      <w:r>
        <w:rPr>
          <w:rFonts w:ascii="Arial" w:hAnsi="Arial"/>
          <w:i w:val="0"/>
          <w:sz w:val="20"/>
        </w:rPr>
        <w:t>Thư viện HCMUS trang bị hệ thống phòng học nhóm hiện đại (Group Study Rooms) phục vụ thảo luận bài tập lớn, đồ án và seminar. Quy trình đặt phòng:</w:t>
        <w:br/>
        <w:t>1. Đại diện nhóm đăng ký trước tối thiểu 24 giờ qua form trực tuyến trên website Thư viện (lib.hcmus.edu.vn) hoặc tại quầy thủ thư Lầu 9.</w:t>
        <w:br/>
        <w:t>2. Số lượng thành viên tối thiểu: Từ 03 đến 08 sinh viên/nhóm.</w:t>
        <w:br/>
        <w:t>3. Thời lượng sử dụng tối đa: 02 đến 03 giờ/ca học để đảm bảo công bằng cho các nhóm khác.</w:t>
        <w:br/>
        <w:t>4. Nhóm có trách nhiệm giữ gìn vệ sinh, tắt thiết bị điện (máy lạnh, màn hình TV) và bàn giao phòng cho thủ thư sau ca học.</w:t>
      </w:r>
    </w:p>
    <w:p>
      <w:r>
        <w:br w:type="page"/>
      </w:r>
    </w:p>
    <w:p>
      <w:pPr>
        <w:keepNext/>
        <w:spacing w:before="360" w:after="160"/>
      </w:pPr>
      <w:r>
        <w:rPr>
          <w:rFonts w:ascii="Arial" w:hAnsi="Arial"/>
          <w:b/>
          <w:color w:val="003366"/>
          <w:sz w:val="30"/>
        </w:rPr>
        <w:t>PHẦN 2: CẨM NANG KHAI THÁC 15+ CƠ SỞ DỮ LIỆU HỌC THUẬT SỐ QUỐC TẾ</w:t>
      </w:r>
    </w:p>
    <w:p>
      <w:pPr>
        <w:keepNext/>
        <w:spacing w:before="240" w:after="100"/>
      </w:pPr>
      <w:r>
        <w:rPr>
          <w:rFonts w:ascii="Arial" w:hAnsi="Arial"/>
          <w:b/>
          <w:color w:val="1B5E94"/>
          <w:sz w:val="24"/>
        </w:rPr>
        <w:t>2.1 Danh Mục Các Cơ Sở Dữ Liệu Số Hàng Đầu Dành Cho Sinh Viên KHTN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003366"/>
            <w:tcMar>
              <w:top w:w="100" w:type="dxa"/>
              <w:bottom w:w="100" w:type="dxa"/>
              <w:left w:w="120" w:type="dxa"/>
              <w:right w:w="120" w:type="dxa"/>
            </w:tcMar>
          </w:tcPr>
          <w:p>
            <w:pPr>
              <w:jc w:val="center"/>
            </w:pPr>
            <w:r>
              <w:rPr>
                <w:rFonts w:ascii="Arial" w:hAnsi="Arial"/>
                <w:b/>
                <w:color w:val="FFFFFF"/>
                <w:sz w:val="19"/>
              </w:rPr>
              <w:t>Tên Cơ Sở Dữ Liệu</w:t>
            </w:r>
          </w:p>
        </w:tc>
        <w:tc>
          <w:tcPr>
            <w:tcW w:type="dxa" w:w="2592"/>
            <w:shd w:fill="003366"/>
            <w:tcMar>
              <w:top w:w="100" w:type="dxa"/>
              <w:bottom w:w="100" w:type="dxa"/>
              <w:left w:w="120" w:type="dxa"/>
              <w:right w:w="120" w:type="dxa"/>
            </w:tcMar>
          </w:tcPr>
          <w:p>
            <w:pPr>
              <w:jc w:val="center"/>
            </w:pPr>
            <w:r>
              <w:rPr>
                <w:rFonts w:ascii="Arial" w:hAnsi="Arial"/>
                <w:b/>
                <w:color w:val="FFFFFF"/>
                <w:sz w:val="19"/>
              </w:rPr>
              <w:t>Nhà Xuất Bản / Tổ Chức</w:t>
            </w:r>
          </w:p>
        </w:tc>
        <w:tc>
          <w:tcPr>
            <w:tcW w:type="dxa" w:w="2880"/>
            <w:shd w:fill="003366"/>
            <w:tcMar>
              <w:top w:w="100" w:type="dxa"/>
              <w:bottom w:w="100" w:type="dxa"/>
              <w:left w:w="120" w:type="dxa"/>
              <w:right w:w="120" w:type="dxa"/>
            </w:tcMar>
          </w:tcPr>
          <w:p>
            <w:pPr>
              <w:jc w:val="center"/>
            </w:pPr>
            <w:r>
              <w:rPr>
                <w:rFonts w:ascii="Arial" w:hAnsi="Arial"/>
                <w:b/>
                <w:color w:val="FFFFFF"/>
                <w:sz w:val="19"/>
              </w:rPr>
              <w:t>Chuyên Ngành Trọng Tâm Phù Hợp</w:t>
            </w:r>
          </w:p>
        </w:tc>
        <w:tc>
          <w:tcPr>
            <w:tcW w:type="dxa" w:w="3456"/>
            <w:shd w:fill="003366"/>
            <w:tcMar>
              <w:top w:w="100" w:type="dxa"/>
              <w:bottom w:w="100" w:type="dxa"/>
              <w:left w:w="120" w:type="dxa"/>
              <w:right w:w="120" w:type="dxa"/>
            </w:tcMar>
          </w:tcPr>
          <w:p>
            <w:pPr>
              <w:jc w:val="center"/>
            </w:pPr>
            <w:r>
              <w:rPr>
                <w:rFonts w:ascii="Arial" w:hAnsi="Arial"/>
                <w:b/>
                <w:color w:val="FFFFFF"/>
                <w:sz w:val="19"/>
              </w:rPr>
              <w:t>Loại Tài Nguyên Cung Cấp</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IEEE Xplore</w:t>
              <w:br/>
              <w:t>Digital Library</w:t>
            </w:r>
          </w:p>
        </w:tc>
        <w:tc>
          <w:tcPr>
            <w:tcW w:type="dxa" w:w="2592"/>
            <w:shd w:fill="FFFFFF"/>
            <w:tcMar>
              <w:top w:w="80" w:type="dxa"/>
              <w:bottom w:w="80" w:type="dxa"/>
              <w:left w:w="120" w:type="dxa"/>
              <w:right w:w="120" w:type="dxa"/>
            </w:tcMar>
          </w:tcPr>
          <w:p>
            <w:pPr>
              <w:spacing w:after="0" w:line="264" w:lineRule="auto"/>
            </w:pPr>
            <w:r>
              <w:rPr>
                <w:rFonts w:ascii="Arial" w:hAnsi="Arial"/>
                <w:sz w:val="18"/>
              </w:rPr>
              <w:t>Institute of Electrical and Electronics Engineers (USA)</w:t>
            </w:r>
          </w:p>
        </w:tc>
        <w:tc>
          <w:tcPr>
            <w:tcW w:type="dxa" w:w="2880"/>
            <w:shd w:fill="FFFFFF"/>
            <w:tcMar>
              <w:top w:w="80" w:type="dxa"/>
              <w:bottom w:w="80" w:type="dxa"/>
              <w:left w:w="120" w:type="dxa"/>
              <w:right w:w="120" w:type="dxa"/>
            </w:tcMar>
          </w:tcPr>
          <w:p>
            <w:pPr>
              <w:spacing w:after="0" w:line="264" w:lineRule="auto"/>
            </w:pPr>
            <w:r>
              <w:rPr>
                <w:rFonts w:ascii="Arial" w:hAnsi="Arial"/>
                <w:sz w:val="18"/>
              </w:rPr>
              <w:t>Khoa học Máy tính, Trí tuệ nhân tạo, Kỹ thuật Phần mềm, Điện tử - Viễn thông, IoT, Vi mạch bán dẫn.</w:t>
            </w:r>
          </w:p>
        </w:tc>
        <w:tc>
          <w:tcPr>
            <w:tcW w:type="dxa" w:w="3456"/>
            <w:shd w:fill="FFFFFF"/>
            <w:tcMar>
              <w:top w:w="80" w:type="dxa"/>
              <w:bottom w:w="80" w:type="dxa"/>
              <w:left w:w="120" w:type="dxa"/>
              <w:right w:w="120" w:type="dxa"/>
            </w:tcMar>
          </w:tcPr>
          <w:p>
            <w:pPr>
              <w:spacing w:after="0" w:line="264" w:lineRule="auto"/>
            </w:pPr>
            <w:r>
              <w:rPr>
                <w:rFonts w:ascii="Arial" w:hAnsi="Arial"/>
                <w:sz w:val="18"/>
              </w:rPr>
              <w:t>Hơn 5 triệu bài báo toàn văn từ các tạp chí IEEE Transactions, hội nghị IEEE hàng đầu thế giới.</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ScienceDirect</w:t>
            </w:r>
          </w:p>
        </w:tc>
        <w:tc>
          <w:tcPr>
            <w:tcW w:type="dxa" w:w="2592"/>
            <w:shd w:fill="F4F8FA"/>
            <w:tcMar>
              <w:top w:w="80" w:type="dxa"/>
              <w:bottom w:w="80" w:type="dxa"/>
              <w:left w:w="120" w:type="dxa"/>
              <w:right w:w="120" w:type="dxa"/>
            </w:tcMar>
          </w:tcPr>
          <w:p>
            <w:pPr>
              <w:spacing w:after="0" w:line="264" w:lineRule="auto"/>
            </w:pPr>
            <w:r>
              <w:rPr>
                <w:rFonts w:ascii="Arial" w:hAnsi="Arial"/>
                <w:sz w:val="18"/>
              </w:rPr>
              <w:t>Elsevier (Hà Lan)</w:t>
            </w:r>
          </w:p>
        </w:tc>
        <w:tc>
          <w:tcPr>
            <w:tcW w:type="dxa" w:w="2880"/>
            <w:shd w:fill="F4F8FA"/>
            <w:tcMar>
              <w:top w:w="80" w:type="dxa"/>
              <w:bottom w:w="80" w:type="dxa"/>
              <w:left w:w="120" w:type="dxa"/>
              <w:right w:w="120" w:type="dxa"/>
            </w:tcMar>
          </w:tcPr>
          <w:p>
            <w:pPr>
              <w:spacing w:after="0" w:line="264" w:lineRule="auto"/>
            </w:pPr>
            <w:r>
              <w:rPr>
                <w:rFonts w:ascii="Arial" w:hAnsi="Arial"/>
                <w:sz w:val="18"/>
              </w:rPr>
              <w:t>Đa ngành KHTN: Hóa học, Sinh học, Vật lý, Môi trường, Khoa học Vật liệu, Khoa học Trái đất.</w:t>
            </w:r>
          </w:p>
        </w:tc>
        <w:tc>
          <w:tcPr>
            <w:tcW w:type="dxa" w:w="3456"/>
            <w:shd w:fill="F4F8FA"/>
            <w:tcMar>
              <w:top w:w="80" w:type="dxa"/>
              <w:bottom w:w="80" w:type="dxa"/>
              <w:left w:w="120" w:type="dxa"/>
              <w:right w:w="120" w:type="dxa"/>
            </w:tcMar>
          </w:tcPr>
          <w:p>
            <w:pPr>
              <w:spacing w:after="0" w:line="264" w:lineRule="auto"/>
            </w:pPr>
            <w:r>
              <w:rPr>
                <w:rFonts w:ascii="Arial" w:hAnsi="Arial"/>
                <w:sz w:val="18"/>
              </w:rPr>
              <w:t>Hàng triệu bài báo nghiên cứu gốc (Research Articles) từ hàng ngàn tạp chí ISI uy tín.</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SpringerLink</w:t>
            </w:r>
          </w:p>
        </w:tc>
        <w:tc>
          <w:tcPr>
            <w:tcW w:type="dxa" w:w="2592"/>
            <w:shd w:fill="FFFFFF"/>
            <w:tcMar>
              <w:top w:w="80" w:type="dxa"/>
              <w:bottom w:w="80" w:type="dxa"/>
              <w:left w:w="120" w:type="dxa"/>
              <w:right w:w="120" w:type="dxa"/>
            </w:tcMar>
          </w:tcPr>
          <w:p>
            <w:pPr>
              <w:spacing w:after="0" w:line="264" w:lineRule="auto"/>
            </w:pPr>
            <w:r>
              <w:rPr>
                <w:rFonts w:ascii="Arial" w:hAnsi="Arial"/>
                <w:sz w:val="18"/>
              </w:rPr>
              <w:t>Springer Nature (Đức)</w:t>
            </w:r>
          </w:p>
        </w:tc>
        <w:tc>
          <w:tcPr>
            <w:tcW w:type="dxa" w:w="2880"/>
            <w:shd w:fill="FFFFFF"/>
            <w:tcMar>
              <w:top w:w="80" w:type="dxa"/>
              <w:bottom w:w="80" w:type="dxa"/>
              <w:left w:w="120" w:type="dxa"/>
              <w:right w:w="120" w:type="dxa"/>
            </w:tcMar>
          </w:tcPr>
          <w:p>
            <w:pPr>
              <w:spacing w:after="0" w:line="264" w:lineRule="auto"/>
            </w:pPr>
            <w:r>
              <w:rPr>
                <w:rFonts w:ascii="Arial" w:hAnsi="Arial"/>
                <w:sz w:val="18"/>
              </w:rPr>
              <w:t>Toán học, Toán ứng dụng, Tin học, Khoa học Tự nhiên, Y sinh học.</w:t>
            </w:r>
          </w:p>
        </w:tc>
        <w:tc>
          <w:tcPr>
            <w:tcW w:type="dxa" w:w="3456"/>
            <w:shd w:fill="FFFFFF"/>
            <w:tcMar>
              <w:top w:w="80" w:type="dxa"/>
              <w:bottom w:w="80" w:type="dxa"/>
              <w:left w:w="120" w:type="dxa"/>
              <w:right w:w="120" w:type="dxa"/>
            </w:tcMar>
          </w:tcPr>
          <w:p>
            <w:pPr>
              <w:spacing w:after="0" w:line="264" w:lineRule="auto"/>
            </w:pPr>
            <w:r>
              <w:rPr>
                <w:rFonts w:ascii="Arial" w:hAnsi="Arial"/>
                <w:sz w:val="18"/>
              </w:rPr>
              <w:t>Bộ sách chuyên khảo (Monographs), sách giáo trình đại học điện tử (eBooks), bài báo bình duyệt.</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Web of Science</w:t>
              <w:br/>
              <w:t>(Clarivate)</w:t>
            </w:r>
          </w:p>
        </w:tc>
        <w:tc>
          <w:tcPr>
            <w:tcW w:type="dxa" w:w="2592"/>
            <w:shd w:fill="F4F8FA"/>
            <w:tcMar>
              <w:top w:w="80" w:type="dxa"/>
              <w:bottom w:w="80" w:type="dxa"/>
              <w:left w:w="120" w:type="dxa"/>
              <w:right w:w="120" w:type="dxa"/>
            </w:tcMar>
          </w:tcPr>
          <w:p>
            <w:pPr>
              <w:spacing w:after="0" w:line="264" w:lineRule="auto"/>
            </w:pPr>
            <w:r>
              <w:rPr>
                <w:rFonts w:ascii="Arial" w:hAnsi="Arial"/>
                <w:sz w:val="18"/>
              </w:rPr>
              <w:t>Clarivate Analytics (USA)</w:t>
            </w:r>
          </w:p>
        </w:tc>
        <w:tc>
          <w:tcPr>
            <w:tcW w:type="dxa" w:w="2880"/>
            <w:shd w:fill="F4F8FA"/>
            <w:tcMar>
              <w:top w:w="80" w:type="dxa"/>
              <w:bottom w:w="80" w:type="dxa"/>
              <w:left w:w="120" w:type="dxa"/>
              <w:right w:w="120" w:type="dxa"/>
            </w:tcMar>
          </w:tcPr>
          <w:p>
            <w:pPr>
              <w:spacing w:after="0" w:line="264" w:lineRule="auto"/>
            </w:pPr>
            <w:r>
              <w:rPr>
                <w:rFonts w:ascii="Arial" w:hAnsi="Arial"/>
                <w:sz w:val="18"/>
              </w:rPr>
              <w:t>Tra cứu toàn cầu danh mục tạp chí uy tín SCIE/SSCI (Q1, Q2, Q3, Q4), chỉ số trích dẫn tác giả, h-index.</w:t>
            </w:r>
          </w:p>
        </w:tc>
        <w:tc>
          <w:tcPr>
            <w:tcW w:type="dxa" w:w="3456"/>
            <w:shd w:fill="F4F8FA"/>
            <w:tcMar>
              <w:top w:w="80" w:type="dxa"/>
              <w:bottom w:w="80" w:type="dxa"/>
              <w:left w:w="120" w:type="dxa"/>
              <w:right w:w="120" w:type="dxa"/>
            </w:tcMar>
          </w:tcPr>
          <w:p>
            <w:pPr>
              <w:spacing w:after="0" w:line="264" w:lineRule="auto"/>
            </w:pPr>
            <w:r>
              <w:rPr>
                <w:rFonts w:ascii="Arial" w:hAnsi="Arial"/>
                <w:sz w:val="18"/>
              </w:rPr>
              <w:t>Dữ liệu trích dẫn khoa học tiêu chuẩn vàng thế giới để đánh giá chất lượng bài báo.</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Scopus</w:t>
            </w:r>
          </w:p>
        </w:tc>
        <w:tc>
          <w:tcPr>
            <w:tcW w:type="dxa" w:w="2592"/>
            <w:shd w:fill="FFFFFF"/>
            <w:tcMar>
              <w:top w:w="80" w:type="dxa"/>
              <w:bottom w:w="80" w:type="dxa"/>
              <w:left w:w="120" w:type="dxa"/>
              <w:right w:w="120" w:type="dxa"/>
            </w:tcMar>
          </w:tcPr>
          <w:p>
            <w:pPr>
              <w:spacing w:after="0" w:line="264" w:lineRule="auto"/>
            </w:pPr>
            <w:r>
              <w:rPr>
                <w:rFonts w:ascii="Arial" w:hAnsi="Arial"/>
                <w:sz w:val="18"/>
              </w:rPr>
              <w:t>Elsevier</w:t>
            </w:r>
          </w:p>
        </w:tc>
        <w:tc>
          <w:tcPr>
            <w:tcW w:type="dxa" w:w="2880"/>
            <w:shd w:fill="FFFFFF"/>
            <w:tcMar>
              <w:top w:w="80" w:type="dxa"/>
              <w:bottom w:w="80" w:type="dxa"/>
              <w:left w:w="120" w:type="dxa"/>
              <w:right w:w="120" w:type="dxa"/>
            </w:tcMar>
          </w:tcPr>
          <w:p>
            <w:pPr>
              <w:spacing w:after="0" w:line="264" w:lineRule="auto"/>
            </w:pPr>
            <w:r>
              <w:rPr>
                <w:rFonts w:ascii="Arial" w:hAnsi="Arial"/>
                <w:sz w:val="18"/>
              </w:rPr>
              <w:t>Cơ sở dữ liệu tóm tắt và trích dẫn khoa học lớn nhất thế giới, bao quát hàng chục ngàn tạp chí.</w:t>
            </w:r>
          </w:p>
        </w:tc>
        <w:tc>
          <w:tcPr>
            <w:tcW w:type="dxa" w:w="3456"/>
            <w:shd w:fill="FFFFFF"/>
            <w:tcMar>
              <w:top w:w="80" w:type="dxa"/>
              <w:bottom w:w="80" w:type="dxa"/>
              <w:left w:w="120" w:type="dxa"/>
              <w:right w:w="120" w:type="dxa"/>
            </w:tcMar>
          </w:tcPr>
          <w:p>
            <w:pPr>
              <w:spacing w:after="0" w:line="264" w:lineRule="auto"/>
            </w:pPr>
            <w:r>
              <w:rPr>
                <w:rFonts w:ascii="Arial" w:hAnsi="Arial"/>
                <w:sz w:val="18"/>
              </w:rPr>
              <w:t>Tra cứu tổng quan nghiên cứu (Literature Review), phân tích mạng lưới tác giả.</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ACS Publications</w:t>
            </w:r>
          </w:p>
        </w:tc>
        <w:tc>
          <w:tcPr>
            <w:tcW w:type="dxa" w:w="2592"/>
            <w:shd w:fill="F4F8FA"/>
            <w:tcMar>
              <w:top w:w="80" w:type="dxa"/>
              <w:bottom w:w="80" w:type="dxa"/>
              <w:left w:w="120" w:type="dxa"/>
              <w:right w:w="120" w:type="dxa"/>
            </w:tcMar>
          </w:tcPr>
          <w:p>
            <w:pPr>
              <w:spacing w:after="0" w:line="264" w:lineRule="auto"/>
            </w:pPr>
            <w:r>
              <w:rPr>
                <w:rFonts w:ascii="Arial" w:hAnsi="Arial"/>
                <w:sz w:val="18"/>
              </w:rPr>
              <w:t>American Chemical Society</w:t>
            </w:r>
          </w:p>
        </w:tc>
        <w:tc>
          <w:tcPr>
            <w:tcW w:type="dxa" w:w="2880"/>
            <w:shd w:fill="F4F8FA"/>
            <w:tcMar>
              <w:top w:w="80" w:type="dxa"/>
              <w:bottom w:w="80" w:type="dxa"/>
              <w:left w:w="120" w:type="dxa"/>
              <w:right w:w="120" w:type="dxa"/>
            </w:tcMar>
          </w:tcPr>
          <w:p>
            <w:pPr>
              <w:spacing w:after="0" w:line="264" w:lineRule="auto"/>
            </w:pPr>
            <w:r>
              <w:rPr>
                <w:rFonts w:ascii="Arial" w:hAnsi="Arial"/>
                <w:sz w:val="18"/>
              </w:rPr>
              <w:t>Hóa học toàn diện: Hóa hữu cơ, Hóa vô cơ, Hóa lý, Hóa phân tích, Hóa dược, Hóa polyme.</w:t>
            </w:r>
          </w:p>
        </w:tc>
        <w:tc>
          <w:tcPr>
            <w:tcW w:type="dxa" w:w="3456"/>
            <w:shd w:fill="F4F8FA"/>
            <w:tcMar>
              <w:top w:w="80" w:type="dxa"/>
              <w:bottom w:w="80" w:type="dxa"/>
              <w:left w:w="120" w:type="dxa"/>
              <w:right w:w="120" w:type="dxa"/>
            </w:tcMar>
          </w:tcPr>
          <w:p>
            <w:pPr>
              <w:spacing w:after="0" w:line="264" w:lineRule="auto"/>
            </w:pPr>
            <w:r>
              <w:rPr>
                <w:rFonts w:ascii="Arial" w:hAnsi="Arial"/>
                <w:sz w:val="18"/>
              </w:rPr>
              <w:t>Các tạp chí hóa học danh giá nhất thế giới: JACS, Nano Letters, Analytical Chemistry.</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APS Physics</w:t>
            </w:r>
          </w:p>
        </w:tc>
        <w:tc>
          <w:tcPr>
            <w:tcW w:type="dxa" w:w="2592"/>
            <w:shd w:fill="FFFFFF"/>
            <w:tcMar>
              <w:top w:w="80" w:type="dxa"/>
              <w:bottom w:w="80" w:type="dxa"/>
              <w:left w:w="120" w:type="dxa"/>
              <w:right w:w="120" w:type="dxa"/>
            </w:tcMar>
          </w:tcPr>
          <w:p>
            <w:pPr>
              <w:spacing w:after="0" w:line="264" w:lineRule="auto"/>
            </w:pPr>
            <w:r>
              <w:rPr>
                <w:rFonts w:ascii="Arial" w:hAnsi="Arial"/>
                <w:sz w:val="18"/>
              </w:rPr>
              <w:t>American Physical Society</w:t>
            </w:r>
          </w:p>
        </w:tc>
        <w:tc>
          <w:tcPr>
            <w:tcW w:type="dxa" w:w="2880"/>
            <w:shd w:fill="FFFFFF"/>
            <w:tcMar>
              <w:top w:w="80" w:type="dxa"/>
              <w:bottom w:w="80" w:type="dxa"/>
              <w:left w:w="120" w:type="dxa"/>
              <w:right w:w="120" w:type="dxa"/>
            </w:tcMar>
          </w:tcPr>
          <w:p>
            <w:pPr>
              <w:spacing w:after="0" w:line="264" w:lineRule="auto"/>
            </w:pPr>
            <w:r>
              <w:rPr>
                <w:rFonts w:ascii="Arial" w:hAnsi="Arial"/>
                <w:sz w:val="18"/>
              </w:rPr>
              <w:t>Vật lý lý thuyết, Vật lý chất rắn, Vật lý lượng tử, Quang học, Vật lý hạt nhân.</w:t>
            </w:r>
          </w:p>
        </w:tc>
        <w:tc>
          <w:tcPr>
            <w:tcW w:type="dxa" w:w="3456"/>
            <w:shd w:fill="FFFFFF"/>
            <w:tcMar>
              <w:top w:w="80" w:type="dxa"/>
              <w:bottom w:w="80" w:type="dxa"/>
              <w:left w:w="120" w:type="dxa"/>
              <w:right w:w="120" w:type="dxa"/>
            </w:tcMar>
          </w:tcPr>
          <w:p>
            <w:pPr>
              <w:spacing w:after="0" w:line="264" w:lineRule="auto"/>
            </w:pPr>
            <w:r>
              <w:rPr>
                <w:rFonts w:ascii="Arial" w:hAnsi="Arial"/>
                <w:sz w:val="18"/>
              </w:rPr>
              <w:t>Tập san đỉnh cao Physical Review Letters (PRL), Physical Review series.</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ProQuest Central</w:t>
            </w:r>
          </w:p>
        </w:tc>
        <w:tc>
          <w:tcPr>
            <w:tcW w:type="dxa" w:w="2592"/>
            <w:shd w:fill="F4F8FA"/>
            <w:tcMar>
              <w:top w:w="80" w:type="dxa"/>
              <w:bottom w:w="80" w:type="dxa"/>
              <w:left w:w="120" w:type="dxa"/>
              <w:right w:w="120" w:type="dxa"/>
            </w:tcMar>
          </w:tcPr>
          <w:p>
            <w:pPr>
              <w:spacing w:after="0" w:line="264" w:lineRule="auto"/>
            </w:pPr>
            <w:r>
              <w:rPr>
                <w:rFonts w:ascii="Arial" w:hAnsi="Arial"/>
                <w:sz w:val="18"/>
              </w:rPr>
              <w:t>ProQuest (USA)</w:t>
            </w:r>
          </w:p>
        </w:tc>
        <w:tc>
          <w:tcPr>
            <w:tcW w:type="dxa" w:w="2880"/>
            <w:shd w:fill="F4F8FA"/>
            <w:tcMar>
              <w:top w:w="80" w:type="dxa"/>
              <w:bottom w:w="80" w:type="dxa"/>
              <w:left w:w="120" w:type="dxa"/>
              <w:right w:w="120" w:type="dxa"/>
            </w:tcMar>
          </w:tcPr>
          <w:p>
            <w:pPr>
              <w:spacing w:after="0" w:line="264" w:lineRule="auto"/>
            </w:pPr>
            <w:r>
              <w:rPr>
                <w:rFonts w:ascii="Arial" w:hAnsi="Arial"/>
                <w:sz w:val="18"/>
              </w:rPr>
              <w:t>Đa ngành, luận văn Thạc sĩ - Tiến sĩ quốc tế, kỷ yếu hội thảo khoa học.</w:t>
            </w:r>
          </w:p>
        </w:tc>
        <w:tc>
          <w:tcPr>
            <w:tcW w:type="dxa" w:w="3456"/>
            <w:shd w:fill="F4F8FA"/>
            <w:tcMar>
              <w:top w:w="80" w:type="dxa"/>
              <w:bottom w:w="80" w:type="dxa"/>
              <w:left w:w="120" w:type="dxa"/>
              <w:right w:w="120" w:type="dxa"/>
            </w:tcMar>
          </w:tcPr>
          <w:p>
            <w:pPr>
              <w:spacing w:after="0" w:line="264" w:lineRule="auto"/>
            </w:pPr>
            <w:r>
              <w:rPr>
                <w:rFonts w:ascii="Arial" w:hAnsi="Arial"/>
                <w:sz w:val="18"/>
              </w:rPr>
              <w:t>Toàn văn hàng triệu luận án tiến sĩ và tài liệu nghiên cứu chuyên sâu.</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DSpace ĐHQG-HCM</w:t>
              <w:br/>
              <w:t>(Repository)</w:t>
            </w:r>
          </w:p>
        </w:tc>
        <w:tc>
          <w:tcPr>
            <w:tcW w:type="dxa" w:w="2592"/>
            <w:shd w:fill="FFFFFF"/>
            <w:tcMar>
              <w:top w:w="80" w:type="dxa"/>
              <w:bottom w:w="80" w:type="dxa"/>
              <w:left w:w="120" w:type="dxa"/>
              <w:right w:w="120" w:type="dxa"/>
            </w:tcMar>
          </w:tcPr>
          <w:p>
            <w:pPr>
              <w:spacing w:after="0" w:line="264" w:lineRule="auto"/>
            </w:pPr>
            <w:r>
              <w:rPr>
                <w:rFonts w:ascii="Arial" w:hAnsi="Arial"/>
                <w:sz w:val="18"/>
              </w:rPr>
              <w:t>Đại học Quốc gia TP.HCM</w:t>
            </w:r>
          </w:p>
        </w:tc>
        <w:tc>
          <w:tcPr>
            <w:tcW w:type="dxa" w:w="2880"/>
            <w:shd w:fill="FFFFFF"/>
            <w:tcMar>
              <w:top w:w="80" w:type="dxa"/>
              <w:bottom w:w="80" w:type="dxa"/>
              <w:left w:w="120" w:type="dxa"/>
              <w:right w:w="120" w:type="dxa"/>
            </w:tcMar>
          </w:tcPr>
          <w:p>
            <w:pPr>
              <w:spacing w:after="0" w:line="264" w:lineRule="auto"/>
            </w:pPr>
            <w:r>
              <w:rPr>
                <w:rFonts w:ascii="Arial" w:hAnsi="Arial"/>
                <w:sz w:val="18"/>
              </w:rPr>
              <w:t>Luận văn thạc sĩ, Khóa luận tốt nghiệp cử nhân, Đề tài NCKH bảo vệ tại HCMUS.</w:t>
            </w:r>
          </w:p>
        </w:tc>
        <w:tc>
          <w:tcPr>
            <w:tcW w:type="dxa" w:w="3456"/>
            <w:shd w:fill="FFFFFF"/>
            <w:tcMar>
              <w:top w:w="80" w:type="dxa"/>
              <w:bottom w:w="80" w:type="dxa"/>
              <w:left w:w="120" w:type="dxa"/>
              <w:right w:w="120" w:type="dxa"/>
            </w:tcMar>
          </w:tcPr>
          <w:p>
            <w:pPr>
              <w:spacing w:after="0" w:line="264" w:lineRule="auto"/>
            </w:pPr>
            <w:r>
              <w:rPr>
                <w:rFonts w:ascii="Arial" w:hAnsi="Arial"/>
                <w:sz w:val="18"/>
              </w:rPr>
              <w:t>Kho tri thức nội sinh toàn văn tham khảo cấu trúc đề tài khóa luận.</w:t>
            </w:r>
          </w:p>
        </w:tc>
      </w:tr>
    </w:tbl>
    <w:p>
      <w:pPr>
        <w:spacing w:after="80"/>
      </w:pPr>
    </w:p>
    <w:p>
      <w:pPr>
        <w:keepNext/>
        <w:spacing w:before="240" w:after="100"/>
      </w:pPr>
      <w:r>
        <w:rPr>
          <w:rFonts w:ascii="Arial" w:hAnsi="Arial"/>
          <w:b/>
          <w:color w:val="1B5E94"/>
          <w:sz w:val="24"/>
        </w:rPr>
        <w:t>2.2 Hướng Dẫn Truy Cập Từ Xa Qua Cổng EZproxy / VPN</w:t>
      </w:r>
    </w:p>
    <w:p>
      <w:pPr>
        <w:spacing w:after="80" w:line="276" w:lineRule="auto"/>
      </w:pPr>
      <w:r>
        <w:rPr>
          <w:rFonts w:ascii="Arial" w:hAnsi="Arial"/>
          <w:i w:val="0"/>
          <w:sz w:val="20"/>
        </w:rPr>
        <w:t>Sinh viên không nhất thiết phải ngồi tại phòng máy trường mới đọc được bài báo quốc tế trả phí (paid journals). Hệ thống Thư viện ĐHQG-HCM cung cấp cổng ủy quyền EZproxy (Off-Campus Access) cho phép sinh viên ngồi tại nhà tải bài báo miễn phí 100%:</w:t>
        <w:br/>
        <w:t>• Bước 1: Truy cập Cổng tài nguyên số Thư viện Trung tâm ĐHQG-HCM tại địa chỉ: https://vnulib.edu.vn hoặc cổng thư viện HCMUS: https://lib.hcmus.edu.vn.</w:t>
        <w:br/>
        <w:t>• Bước 2: Chọn mục 'CƠ SỞ DỮ LIỆU TRỰC TUYẾN' hoặc 'TRUY CẬP TỪ XA (OFF-CAMPUS ACCESS)'.</w:t>
        <w:br/>
        <w:t>• Bước 3: Hệ thống chuyển hướng sang màn hình đăng nhập EZproxy. Sinh viên nhập Tên người dùng và Mật khẩu (chính là tài khoản email sinh viên @student.hcmus.edu.vn hoặc mã vạch thẻ thư viện ĐHQG).</w:t>
        <w:br/>
        <w:t>• Bước 4: Sau khi đăng nhập thành công, trình duyệt sẽ tự động gắn proxy ủy quyền. Sinh viên bấm vào IEEE, ScienceDirect hay SpringerLink để tải trọn vẹn file PDF bài báo với dòng chữ xác nhận: 'Access provided by Vietnam National University Ho Chi Minh City'.</w:t>
      </w:r>
    </w:p>
    <w:p>
      <w:r>
        <w:br w:type="page"/>
      </w:r>
    </w:p>
    <w:p>
      <w:pPr>
        <w:keepNext/>
        <w:spacing w:before="360" w:after="160"/>
      </w:pPr>
      <w:r>
        <w:rPr>
          <w:rFonts w:ascii="Arial" w:hAnsi="Arial"/>
          <w:b/>
          <w:color w:val="003366"/>
          <w:sz w:val="30"/>
        </w:rPr>
        <w:t>PHẦN 3: PHƯƠNG PHÁP &amp; CHIẾN LƯỢC TÌM KIẾM TÀI LIỆU HỌC THUẬT (SEARCH STRATEGY)</w:t>
      </w:r>
    </w:p>
    <w:p>
      <w:pPr>
        <w:keepNext/>
        <w:spacing w:before="240" w:after="100"/>
      </w:pPr>
      <w:r>
        <w:rPr>
          <w:rFonts w:ascii="Arial" w:hAnsi="Arial"/>
          <w:b/>
          <w:color w:val="1B5E94"/>
          <w:sz w:val="24"/>
        </w:rPr>
        <w:t>3.1 Nghệ Thuật Sử Dụng Toán Tử Boolean &amp; Cú Pháp Tìm Kiếm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003366"/>
            <w:tcMar>
              <w:top w:w="100" w:type="dxa"/>
              <w:bottom w:w="100" w:type="dxa"/>
              <w:left w:w="120" w:type="dxa"/>
              <w:right w:w="120" w:type="dxa"/>
            </w:tcMar>
          </w:tcPr>
          <w:p>
            <w:pPr>
              <w:jc w:val="center"/>
            </w:pPr>
            <w:r>
              <w:rPr>
                <w:rFonts w:ascii="Arial" w:hAnsi="Arial"/>
                <w:b/>
                <w:color w:val="FFFFFF"/>
                <w:sz w:val="19"/>
              </w:rPr>
              <w:t>Toán Tử / Cú Pháp</w:t>
            </w:r>
          </w:p>
        </w:tc>
        <w:tc>
          <w:tcPr>
            <w:tcW w:type="dxa" w:w="3168"/>
            <w:shd w:fill="003366"/>
            <w:tcMar>
              <w:top w:w="100" w:type="dxa"/>
              <w:bottom w:w="100" w:type="dxa"/>
              <w:left w:w="120" w:type="dxa"/>
              <w:right w:w="120" w:type="dxa"/>
            </w:tcMar>
          </w:tcPr>
          <w:p>
            <w:pPr>
              <w:jc w:val="center"/>
            </w:pPr>
            <w:r>
              <w:rPr>
                <w:rFonts w:ascii="Arial" w:hAnsi="Arial"/>
                <w:b/>
                <w:color w:val="FFFFFF"/>
                <w:sz w:val="19"/>
              </w:rPr>
              <w:t>Chức Năng Tìm Kiếm</w:t>
            </w:r>
          </w:p>
        </w:tc>
        <w:tc>
          <w:tcPr>
            <w:tcW w:type="dxa" w:w="2880"/>
            <w:shd w:fill="003366"/>
            <w:tcMar>
              <w:top w:w="100" w:type="dxa"/>
              <w:bottom w:w="100" w:type="dxa"/>
              <w:left w:w="120" w:type="dxa"/>
              <w:right w:w="120" w:type="dxa"/>
            </w:tcMar>
          </w:tcPr>
          <w:p>
            <w:pPr>
              <w:jc w:val="center"/>
            </w:pPr>
            <w:r>
              <w:rPr>
                <w:rFonts w:ascii="Arial" w:hAnsi="Arial"/>
                <w:b/>
                <w:color w:val="FFFFFF"/>
                <w:sz w:val="19"/>
              </w:rPr>
              <w:t>Ví Dụ Cụ Thể</w:t>
            </w:r>
          </w:p>
        </w:tc>
        <w:tc>
          <w:tcPr>
            <w:tcW w:type="dxa" w:w="2880"/>
            <w:shd w:fill="003366"/>
            <w:tcMar>
              <w:top w:w="100" w:type="dxa"/>
              <w:bottom w:w="100" w:type="dxa"/>
              <w:left w:w="120" w:type="dxa"/>
              <w:right w:w="120" w:type="dxa"/>
            </w:tcMar>
          </w:tcPr>
          <w:p>
            <w:pPr>
              <w:jc w:val="center"/>
            </w:pPr>
            <w:r>
              <w:rPr>
                <w:rFonts w:ascii="Arial" w:hAnsi="Arial"/>
                <w:b/>
                <w:color w:val="FFFFFF"/>
                <w:sz w:val="19"/>
              </w:rPr>
              <w:t>Kết Quả Trả Về</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AND</w:t>
            </w:r>
          </w:p>
        </w:tc>
        <w:tc>
          <w:tcPr>
            <w:tcW w:type="dxa" w:w="3168"/>
            <w:shd w:fill="FFFFFF"/>
            <w:tcMar>
              <w:top w:w="80" w:type="dxa"/>
              <w:bottom w:w="80" w:type="dxa"/>
              <w:left w:w="120" w:type="dxa"/>
              <w:right w:w="120" w:type="dxa"/>
            </w:tcMar>
          </w:tcPr>
          <w:p>
            <w:pPr>
              <w:spacing w:after="0" w:line="264" w:lineRule="auto"/>
            </w:pPr>
            <w:r>
              <w:rPr>
                <w:rFonts w:ascii="Arial" w:hAnsi="Arial"/>
                <w:sz w:val="18"/>
              </w:rPr>
              <w:t>Thu hẹp phạm vi: Bài viết bắt buộc phải chứa đồng thời cả hai từ khóa.</w:t>
            </w:r>
          </w:p>
        </w:tc>
        <w:tc>
          <w:tcPr>
            <w:tcW w:type="dxa" w:w="2880"/>
            <w:shd w:fill="FFFFFF"/>
            <w:tcMar>
              <w:top w:w="80" w:type="dxa"/>
              <w:bottom w:w="80" w:type="dxa"/>
              <w:left w:w="120" w:type="dxa"/>
              <w:right w:w="120" w:type="dxa"/>
            </w:tcMar>
          </w:tcPr>
          <w:p>
            <w:pPr>
              <w:spacing w:after="0" w:line="264" w:lineRule="auto"/>
            </w:pPr>
            <w:r>
              <w:rPr>
                <w:rFonts w:ascii="Arial" w:hAnsi="Arial"/>
                <w:sz w:val="18"/>
              </w:rPr>
              <w:t>machine learning AND healthcare</w:t>
            </w:r>
          </w:p>
        </w:tc>
        <w:tc>
          <w:tcPr>
            <w:tcW w:type="dxa" w:w="2880"/>
            <w:shd w:fill="FFFFFF"/>
            <w:tcMar>
              <w:top w:w="80" w:type="dxa"/>
              <w:bottom w:w="80" w:type="dxa"/>
              <w:left w:w="120" w:type="dxa"/>
              <w:right w:w="120" w:type="dxa"/>
            </w:tcMar>
          </w:tcPr>
          <w:p>
            <w:pPr>
              <w:spacing w:after="0" w:line="264" w:lineRule="auto"/>
            </w:pPr>
            <w:r>
              <w:rPr>
                <w:rFonts w:ascii="Arial" w:hAnsi="Arial"/>
                <w:sz w:val="18"/>
              </w:rPr>
              <w:t>Chỉ trả về các bài báo vừa nói về Machine Learning vừa ứng dụng trong y tế.</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OR</w:t>
            </w:r>
          </w:p>
        </w:tc>
        <w:tc>
          <w:tcPr>
            <w:tcW w:type="dxa" w:w="3168"/>
            <w:shd w:fill="F4F8FA"/>
            <w:tcMar>
              <w:top w:w="80" w:type="dxa"/>
              <w:bottom w:w="80" w:type="dxa"/>
              <w:left w:w="120" w:type="dxa"/>
              <w:right w:w="120" w:type="dxa"/>
            </w:tcMar>
          </w:tcPr>
          <w:p>
            <w:pPr>
              <w:spacing w:after="0" w:line="264" w:lineRule="auto"/>
            </w:pPr>
            <w:r>
              <w:rPr>
                <w:rFonts w:ascii="Arial" w:hAnsi="Arial"/>
                <w:sz w:val="18"/>
              </w:rPr>
              <w:t>Mở rộng phạm vi: Bài viết chứa một trong các từ khóa (dùng cho các từ đồng nghĩa).</w:t>
            </w:r>
          </w:p>
        </w:tc>
        <w:tc>
          <w:tcPr>
            <w:tcW w:type="dxa" w:w="2880"/>
            <w:shd w:fill="F4F8FA"/>
            <w:tcMar>
              <w:top w:w="80" w:type="dxa"/>
              <w:bottom w:w="80" w:type="dxa"/>
              <w:left w:w="120" w:type="dxa"/>
              <w:right w:w="120" w:type="dxa"/>
            </w:tcMar>
          </w:tcPr>
          <w:p>
            <w:pPr>
              <w:spacing w:after="0" w:line="264" w:lineRule="auto"/>
            </w:pPr>
            <w:r>
              <w:rPr>
                <w:rFonts w:ascii="Arial" w:hAnsi="Arial"/>
                <w:sz w:val="18"/>
              </w:rPr>
              <w:t>"artificial intelligence" OR "deep learning"</w:t>
            </w:r>
          </w:p>
        </w:tc>
        <w:tc>
          <w:tcPr>
            <w:tcW w:type="dxa" w:w="2880"/>
            <w:shd w:fill="F4F8FA"/>
            <w:tcMar>
              <w:top w:w="80" w:type="dxa"/>
              <w:bottom w:w="80" w:type="dxa"/>
              <w:left w:w="120" w:type="dxa"/>
              <w:right w:w="120" w:type="dxa"/>
            </w:tcMar>
          </w:tcPr>
          <w:p>
            <w:pPr>
              <w:spacing w:after="0" w:line="264" w:lineRule="auto"/>
            </w:pPr>
            <w:r>
              <w:rPr>
                <w:rFonts w:ascii="Arial" w:hAnsi="Arial"/>
                <w:sz w:val="18"/>
              </w:rPr>
              <w:t>Trả về các bài báo chứa một trong hai thuật ngữ AI hoặc Deep Learning.</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NOT</w:t>
            </w:r>
          </w:p>
        </w:tc>
        <w:tc>
          <w:tcPr>
            <w:tcW w:type="dxa" w:w="3168"/>
            <w:shd w:fill="FFFFFF"/>
            <w:tcMar>
              <w:top w:w="80" w:type="dxa"/>
              <w:bottom w:w="80" w:type="dxa"/>
              <w:left w:w="120" w:type="dxa"/>
              <w:right w:w="120" w:type="dxa"/>
            </w:tcMar>
          </w:tcPr>
          <w:p>
            <w:pPr>
              <w:spacing w:after="0" w:line="264" w:lineRule="auto"/>
            </w:pPr>
            <w:r>
              <w:rPr>
                <w:rFonts w:ascii="Arial" w:hAnsi="Arial"/>
                <w:sz w:val="18"/>
              </w:rPr>
              <w:t>Loại trừ từ khóa không mong muốn để lọc nhiễu kết quả.</w:t>
            </w:r>
          </w:p>
        </w:tc>
        <w:tc>
          <w:tcPr>
            <w:tcW w:type="dxa" w:w="2880"/>
            <w:shd w:fill="FFFFFF"/>
            <w:tcMar>
              <w:top w:w="80" w:type="dxa"/>
              <w:bottom w:w="80" w:type="dxa"/>
              <w:left w:w="120" w:type="dxa"/>
              <w:right w:w="120" w:type="dxa"/>
            </w:tcMar>
          </w:tcPr>
          <w:p>
            <w:pPr>
              <w:spacing w:after="0" w:line="264" w:lineRule="auto"/>
            </w:pPr>
            <w:r>
              <w:rPr>
                <w:rFonts w:ascii="Arial" w:hAnsi="Arial"/>
                <w:sz w:val="18"/>
              </w:rPr>
              <w:t>"cancer treatment" NOT "chemotherapy"</w:t>
            </w:r>
          </w:p>
        </w:tc>
        <w:tc>
          <w:tcPr>
            <w:tcW w:type="dxa" w:w="2880"/>
            <w:shd w:fill="FFFFFF"/>
            <w:tcMar>
              <w:top w:w="80" w:type="dxa"/>
              <w:bottom w:w="80" w:type="dxa"/>
              <w:left w:w="120" w:type="dxa"/>
              <w:right w:w="120" w:type="dxa"/>
            </w:tcMar>
          </w:tcPr>
          <w:p>
            <w:pPr>
              <w:spacing w:after="0" w:line="264" w:lineRule="auto"/>
            </w:pPr>
            <w:r>
              <w:rPr>
                <w:rFonts w:ascii="Arial" w:hAnsi="Arial"/>
                <w:sz w:val="18"/>
              </w:rPr>
              <w:t>Tìm phương pháp điều trị ung thư nhưng loại bỏ hoàn toàn các bài về hóa trị.</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Dấu ngoặc kép "..."</w:t>
            </w:r>
          </w:p>
        </w:tc>
        <w:tc>
          <w:tcPr>
            <w:tcW w:type="dxa" w:w="3168"/>
            <w:shd w:fill="F4F8FA"/>
            <w:tcMar>
              <w:top w:w="80" w:type="dxa"/>
              <w:bottom w:w="80" w:type="dxa"/>
              <w:left w:w="120" w:type="dxa"/>
              <w:right w:w="120" w:type="dxa"/>
            </w:tcMar>
          </w:tcPr>
          <w:p>
            <w:pPr>
              <w:spacing w:after="0" w:line="264" w:lineRule="auto"/>
            </w:pPr>
            <w:r>
              <w:rPr>
                <w:rFonts w:ascii="Arial" w:hAnsi="Arial"/>
                <w:sz w:val="18"/>
              </w:rPr>
              <w:t>Tìm chính xác cụm từ liền kề nhau, không bị tách rời từng từ đơn.</w:t>
            </w:r>
          </w:p>
        </w:tc>
        <w:tc>
          <w:tcPr>
            <w:tcW w:type="dxa" w:w="2880"/>
            <w:shd w:fill="F4F8FA"/>
            <w:tcMar>
              <w:top w:w="80" w:type="dxa"/>
              <w:bottom w:w="80" w:type="dxa"/>
              <w:left w:w="120" w:type="dxa"/>
              <w:right w:w="120" w:type="dxa"/>
            </w:tcMar>
          </w:tcPr>
          <w:p>
            <w:pPr>
              <w:spacing w:after="0" w:line="264" w:lineRule="auto"/>
            </w:pPr>
            <w:r>
              <w:rPr>
                <w:rFonts w:ascii="Arial" w:hAnsi="Arial"/>
                <w:sz w:val="18"/>
              </w:rPr>
              <w:t>"natural language processing"</w:t>
            </w:r>
          </w:p>
        </w:tc>
        <w:tc>
          <w:tcPr>
            <w:tcW w:type="dxa" w:w="2880"/>
            <w:shd w:fill="F4F8FA"/>
            <w:tcMar>
              <w:top w:w="80" w:type="dxa"/>
              <w:bottom w:w="80" w:type="dxa"/>
              <w:left w:w="120" w:type="dxa"/>
              <w:right w:w="120" w:type="dxa"/>
            </w:tcMar>
          </w:tcPr>
          <w:p>
            <w:pPr>
              <w:spacing w:after="0" w:line="264" w:lineRule="auto"/>
            </w:pPr>
            <w:r>
              <w:rPr>
                <w:rFonts w:ascii="Arial" w:hAnsi="Arial"/>
                <w:sz w:val="18"/>
              </w:rPr>
              <w:t>Chỉ tìm đúng cụm từ chuẩn NLP, không tìm các từ rời rạc language, processing.</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Dấu hoa thị * (Wildcard)</w:t>
            </w:r>
          </w:p>
        </w:tc>
        <w:tc>
          <w:tcPr>
            <w:tcW w:type="dxa" w:w="3168"/>
            <w:shd w:fill="FFFFFF"/>
            <w:tcMar>
              <w:top w:w="80" w:type="dxa"/>
              <w:bottom w:w="80" w:type="dxa"/>
              <w:left w:w="120" w:type="dxa"/>
              <w:right w:w="120" w:type="dxa"/>
            </w:tcMar>
          </w:tcPr>
          <w:p>
            <w:pPr>
              <w:spacing w:after="0" w:line="264" w:lineRule="auto"/>
            </w:pPr>
            <w:r>
              <w:rPr>
                <w:rFonts w:ascii="Arial" w:hAnsi="Arial"/>
                <w:sz w:val="18"/>
              </w:rPr>
              <w:t>Tìm mở rộng các từ phái sinh bắt đầu bằng một gốc từ.</w:t>
            </w:r>
          </w:p>
        </w:tc>
        <w:tc>
          <w:tcPr>
            <w:tcW w:type="dxa" w:w="2880"/>
            <w:shd w:fill="FFFFFF"/>
            <w:tcMar>
              <w:top w:w="80" w:type="dxa"/>
              <w:bottom w:w="80" w:type="dxa"/>
              <w:left w:w="120" w:type="dxa"/>
              <w:right w:w="120" w:type="dxa"/>
            </w:tcMar>
          </w:tcPr>
          <w:p>
            <w:pPr>
              <w:spacing w:after="0" w:line="264" w:lineRule="auto"/>
            </w:pPr>
            <w:r>
              <w:rPr>
                <w:rFonts w:ascii="Arial" w:hAnsi="Arial"/>
                <w:sz w:val="18"/>
              </w:rPr>
              <w:t>comput*</w:t>
            </w:r>
          </w:p>
        </w:tc>
        <w:tc>
          <w:tcPr>
            <w:tcW w:type="dxa" w:w="2880"/>
            <w:shd w:fill="FFFFFF"/>
            <w:tcMar>
              <w:top w:w="80" w:type="dxa"/>
              <w:bottom w:w="80" w:type="dxa"/>
              <w:left w:w="120" w:type="dxa"/>
              <w:right w:w="120" w:type="dxa"/>
            </w:tcMar>
          </w:tcPr>
          <w:p>
            <w:pPr>
              <w:spacing w:after="0" w:line="264" w:lineRule="auto"/>
            </w:pPr>
            <w:r>
              <w:rPr>
                <w:rFonts w:ascii="Arial" w:hAnsi="Arial"/>
                <w:sz w:val="18"/>
              </w:rPr>
              <w:t>Tìm được: computer, computing, computation, computational.</w:t>
            </w:r>
          </w:p>
        </w:tc>
      </w:tr>
    </w:tbl>
    <w:p>
      <w:pPr>
        <w:spacing w:after="80"/>
      </w:pPr>
    </w:p>
    <w:p>
      <w:pPr>
        <w:keepNext/>
        <w:spacing w:before="240" w:after="100"/>
      </w:pPr>
      <w:r>
        <w:rPr>
          <w:rFonts w:ascii="Arial" w:hAnsi="Arial"/>
          <w:b/>
          <w:color w:val="1B5E94"/>
          <w:sz w:val="24"/>
        </w:rPr>
        <w:t>3.2 Quy Trình 4 Bước Xây Dựng Search String Cho Đề Tài NCKH</w:t>
      </w:r>
    </w:p>
    <w:p>
      <w:pPr>
        <w:pStyle w:val="ListBullet"/>
        <w:spacing w:after="60" w:line="276" w:lineRule="auto"/>
      </w:pPr>
      <w:r>
        <w:rPr>
          <w:rFonts w:ascii="Arial" w:hAnsi="Arial"/>
          <w:b/>
          <w:sz w:val="20"/>
        </w:rPr>
        <w:t xml:space="preserve">Quy trình: </w:t>
      </w:r>
      <w:r>
        <w:rPr>
          <w:rFonts w:ascii="Arial" w:hAnsi="Arial"/>
          <w:sz w:val="20"/>
        </w:rPr>
        <w:t>Bước 1 - Xác định các khái niệm cốt lõi (Core Concepts): Tách đề tài thành 2 đến 3 khái niệm độc lập. Ví dụ đề tài: 'Ứng dụng Học sâu trong Nhận diện Khối u Não trên ảnh MRI' -&gt; Có 3 khái niệm: (1) Học sâu; (2) Khối u não; (3) Ảnh MRI.</w:t>
      </w:r>
    </w:p>
    <w:p>
      <w:pPr>
        <w:pStyle w:val="ListBullet"/>
        <w:spacing w:after="60" w:line="276" w:lineRule="auto"/>
      </w:pPr>
      <w:r>
        <w:rPr>
          <w:rFonts w:ascii="Arial" w:hAnsi="Arial"/>
          <w:b/>
          <w:sz w:val="20"/>
        </w:rPr>
        <w:t xml:space="preserve">Quy trình: </w:t>
      </w:r>
      <w:r>
        <w:rPr>
          <w:rFonts w:ascii="Arial" w:hAnsi="Arial"/>
          <w:sz w:val="20"/>
        </w:rPr>
        <w:t>Bước 2 - Liệt kê từ đồng nghĩa và thuật ngữ tiếng Anh chuẩn: Khái niệm 1: (deep learning OR CNN OR "convolutional neural network"); Khái niệm 2: ("brain tumor" OR glioma OR "brain lesion"); Khái niệm 3: ("MRI" OR "magnetic resonance imaging").</w:t>
      </w:r>
    </w:p>
    <w:p>
      <w:pPr>
        <w:pStyle w:val="ListBullet"/>
        <w:spacing w:after="60" w:line="276" w:lineRule="auto"/>
      </w:pPr>
      <w:r>
        <w:rPr>
          <w:rFonts w:ascii="Arial" w:hAnsi="Arial"/>
          <w:b/>
          <w:sz w:val="20"/>
        </w:rPr>
        <w:t xml:space="preserve">Quy trình: </w:t>
      </w:r>
      <w:r>
        <w:rPr>
          <w:rFonts w:ascii="Arial" w:hAnsi="Arial"/>
          <w:sz w:val="20"/>
        </w:rPr>
        <w:t>Bước 3 - Kết hợp bằng toán tử Boolean: `(deep learning OR CNN OR "convolutional neural network") AND ("brain tumor" OR glioma) AND ("MRI" OR "magnetic resonance imaging")`.</w:t>
      </w:r>
    </w:p>
    <w:p>
      <w:pPr>
        <w:pStyle w:val="ListBullet"/>
        <w:spacing w:after="60" w:line="276" w:lineRule="auto"/>
      </w:pPr>
      <w:r>
        <w:rPr>
          <w:rFonts w:ascii="Arial" w:hAnsi="Arial"/>
          <w:b/>
          <w:sz w:val="20"/>
        </w:rPr>
        <w:t xml:space="preserve">Quy trình: </w:t>
      </w:r>
      <w:r>
        <w:rPr>
          <w:rFonts w:ascii="Arial" w:hAnsi="Arial"/>
          <w:sz w:val="20"/>
        </w:rPr>
        <w:t>Bước 4 - Áp dụng bộ lọc (Filters): Giới hạn năm xuất bản (5 năm gần nhất: 2020 - 2025), loại tài nguyên (Journal Article hoặc Conference Paper) và lọc các bài có chỉ số trích dẫn cao.</w:t>
      </w:r>
    </w:p>
    <w:p>
      <w:r>
        <w:br w:type="page"/>
      </w:r>
    </w:p>
    <w:p>
      <w:pPr>
        <w:keepNext/>
        <w:spacing w:before="360" w:after="160"/>
      </w:pPr>
      <w:r>
        <w:rPr>
          <w:rFonts w:ascii="Arial" w:hAnsi="Arial"/>
          <w:b/>
          <w:color w:val="003366"/>
          <w:sz w:val="30"/>
        </w:rPr>
        <w:t>PHẦN 4: QUẢN LÝ TRÍCH DẪN KHOA HỌC &amp; LIÊM CHÍNH HỌC THUẬT (TURNITIN)</w:t>
      </w:r>
    </w:p>
    <w:p>
      <w:pPr>
        <w:keepNext/>
        <w:spacing w:before="240" w:after="100"/>
      </w:pPr>
      <w:r>
        <w:rPr>
          <w:rFonts w:ascii="Arial" w:hAnsi="Arial"/>
          <w:b/>
          <w:color w:val="1B5E94"/>
          <w:sz w:val="24"/>
        </w:rPr>
        <w:t>4.1 Phần Mềm Quản Lý Trích Dẫn: Mendeley &amp; Zotero</w:t>
      </w:r>
    </w:p>
    <w:p>
      <w:pPr>
        <w:pStyle w:val="ListBullet"/>
        <w:spacing w:after="60" w:line="276" w:lineRule="auto"/>
      </w:pPr>
      <w:r>
        <w:rPr>
          <w:rFonts w:ascii="Arial" w:hAnsi="Arial"/>
          <w:b/>
          <w:sz w:val="20"/>
        </w:rPr>
        <w:t xml:space="preserve">Zotero: </w:t>
      </w:r>
      <w:r>
        <w:rPr>
          <w:rFonts w:ascii="Arial" w:hAnsi="Arial"/>
          <w:sz w:val="20"/>
        </w:rPr>
        <w:t>Zotero: Phần mềm mã nguồn mở hoàn toàn miễn phí, tích hợp plugin trực tiếp trên Chrome/Firefox để lưu bài báo vào thư viện chỉ bằng 1 cú nhấp chuột. Hỗ trợ trích dẫn tự động trong Microsoft Word, LibreOffice và Google Docs.</w:t>
      </w:r>
    </w:p>
    <w:p>
      <w:pPr>
        <w:pStyle w:val="ListBullet"/>
        <w:spacing w:after="60" w:line="276" w:lineRule="auto"/>
      </w:pPr>
      <w:r>
        <w:rPr>
          <w:rFonts w:ascii="Arial" w:hAnsi="Arial"/>
          <w:b/>
          <w:sz w:val="20"/>
        </w:rPr>
        <w:t xml:space="preserve">Mendeley: </w:t>
      </w:r>
      <w:r>
        <w:rPr>
          <w:rFonts w:ascii="Arial" w:hAnsi="Arial"/>
          <w:sz w:val="20"/>
        </w:rPr>
        <w:t>Mendeley: Phần mềm quản lý thư mục học thuật của Elsevier, tích hợp trình đọc PDF, ghi chú trực tiếp trên bài báo và tự động trích xuất metadata (tác giả, năm xuất bản, DOI, số trang).</w:t>
      </w:r>
    </w:p>
    <w:p>
      <w:pPr>
        <w:pStyle w:val="ListBullet"/>
        <w:spacing w:after="60" w:line="276" w:lineRule="auto"/>
      </w:pPr>
      <w:r>
        <w:rPr>
          <w:rFonts w:ascii="Arial" w:hAnsi="Arial"/>
          <w:b/>
          <w:sz w:val="20"/>
        </w:rPr>
        <w:t xml:space="preserve">Tiện ích: </w:t>
      </w:r>
      <w:r>
        <w:rPr>
          <w:rFonts w:ascii="Arial" w:hAnsi="Arial"/>
          <w:sz w:val="20"/>
        </w:rPr>
        <w:t>Tạo danh mục tài liệu tham khảo tự động: Thay vì ngồi gõ tay hàng trăm tài liệu tham khảo, phần mềm tự động định dạng chuẩn xác theo đúng kiểu trích dẫn yêu cầu chỉ trong 1 giây.</w:t>
      </w:r>
    </w:p>
    <w:p>
      <w:pPr>
        <w:keepNext/>
        <w:spacing w:before="240" w:after="100"/>
      </w:pPr>
      <w:r>
        <w:rPr>
          <w:rFonts w:ascii="Arial" w:hAnsi="Arial"/>
          <w:b/>
          <w:color w:val="1B5E94"/>
          <w:sz w:val="24"/>
        </w:rPr>
        <w:t>4.2 So Sánh Các Kiểu Trích Dẫn Chuẩn Quốc Tế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003366"/>
            <w:tcMar>
              <w:top w:w="100" w:type="dxa"/>
              <w:bottom w:w="100" w:type="dxa"/>
              <w:left w:w="120" w:type="dxa"/>
              <w:right w:w="120" w:type="dxa"/>
            </w:tcMar>
          </w:tcPr>
          <w:p>
            <w:pPr>
              <w:jc w:val="center"/>
            </w:pPr>
            <w:r>
              <w:rPr>
                <w:rFonts w:ascii="Arial" w:hAnsi="Arial"/>
                <w:b/>
                <w:color w:val="FFFFFF"/>
                <w:sz w:val="19"/>
              </w:rPr>
              <w:t>Kiểu Trích Dẫn</w:t>
            </w:r>
          </w:p>
        </w:tc>
        <w:tc>
          <w:tcPr>
            <w:tcW w:type="dxa" w:w="3168"/>
            <w:shd w:fill="003366"/>
            <w:tcMar>
              <w:top w:w="100" w:type="dxa"/>
              <w:bottom w:w="100" w:type="dxa"/>
              <w:left w:w="120" w:type="dxa"/>
              <w:right w:w="120" w:type="dxa"/>
            </w:tcMar>
          </w:tcPr>
          <w:p>
            <w:pPr>
              <w:jc w:val="center"/>
            </w:pPr>
            <w:r>
              <w:rPr>
                <w:rFonts w:ascii="Arial" w:hAnsi="Arial"/>
                <w:b/>
                <w:color w:val="FFFFFF"/>
                <w:sz w:val="19"/>
              </w:rPr>
              <w:t>Lĩnh Vực Ứng Dụng</w:t>
            </w:r>
          </w:p>
        </w:tc>
        <w:tc>
          <w:tcPr>
            <w:tcW w:type="dxa" w:w="2880"/>
            <w:shd w:fill="003366"/>
            <w:tcMar>
              <w:top w:w="100" w:type="dxa"/>
              <w:bottom w:w="100" w:type="dxa"/>
              <w:left w:w="120" w:type="dxa"/>
              <w:right w:w="120" w:type="dxa"/>
            </w:tcMar>
          </w:tcPr>
          <w:p>
            <w:pPr>
              <w:jc w:val="center"/>
            </w:pPr>
            <w:r>
              <w:rPr>
                <w:rFonts w:ascii="Arial" w:hAnsi="Arial"/>
                <w:b/>
                <w:color w:val="FFFFFF"/>
                <w:sz w:val="19"/>
              </w:rPr>
              <w:t>Cách Trích Dẫn Trong Bài Viết (In-text)</w:t>
            </w:r>
          </w:p>
        </w:tc>
        <w:tc>
          <w:tcPr>
            <w:tcW w:type="dxa" w:w="3168"/>
            <w:shd w:fill="003366"/>
            <w:tcMar>
              <w:top w:w="100" w:type="dxa"/>
              <w:bottom w:w="100" w:type="dxa"/>
              <w:left w:w="120" w:type="dxa"/>
              <w:right w:w="120" w:type="dxa"/>
            </w:tcMar>
          </w:tcPr>
          <w:p>
            <w:pPr>
              <w:jc w:val="center"/>
            </w:pPr>
            <w:r>
              <w:rPr>
                <w:rFonts w:ascii="Arial" w:hAnsi="Arial"/>
                <w:b/>
                <w:color w:val="FFFFFF"/>
                <w:sz w:val="19"/>
              </w:rPr>
              <w:t>Định Dạng Trong Danh Mục Cuối Bài</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IEEE Style</w:t>
            </w:r>
          </w:p>
        </w:tc>
        <w:tc>
          <w:tcPr>
            <w:tcW w:type="dxa" w:w="3168"/>
            <w:shd w:fill="FFFFFF"/>
            <w:tcMar>
              <w:top w:w="80" w:type="dxa"/>
              <w:bottom w:w="80" w:type="dxa"/>
              <w:left w:w="120" w:type="dxa"/>
              <w:right w:w="120" w:type="dxa"/>
            </w:tcMar>
          </w:tcPr>
          <w:p>
            <w:pPr>
              <w:spacing w:after="0" w:line="264" w:lineRule="auto"/>
            </w:pPr>
            <w:r>
              <w:rPr>
                <w:rFonts w:ascii="Arial" w:hAnsi="Arial"/>
                <w:sz w:val="18"/>
              </w:rPr>
              <w:t>Khoa học Máy tính, Kỹ thuật, Điện tử - Viễn thông</w:t>
            </w:r>
          </w:p>
        </w:tc>
        <w:tc>
          <w:tcPr>
            <w:tcW w:type="dxa" w:w="2880"/>
            <w:shd w:fill="FFFFFF"/>
            <w:tcMar>
              <w:top w:w="80" w:type="dxa"/>
              <w:bottom w:w="80" w:type="dxa"/>
              <w:left w:w="120" w:type="dxa"/>
              <w:right w:w="120" w:type="dxa"/>
            </w:tcMar>
          </w:tcPr>
          <w:p>
            <w:pPr>
              <w:spacing w:after="0" w:line="264" w:lineRule="auto"/>
            </w:pPr>
            <w:r>
              <w:rPr>
                <w:rFonts w:ascii="Arial" w:hAnsi="Arial"/>
                <w:sz w:val="18"/>
              </w:rPr>
              <w:t>Dùng số thứ tự trong ngoặc vuông: [1], [2, 3]</w:t>
            </w:r>
          </w:p>
        </w:tc>
        <w:tc>
          <w:tcPr>
            <w:tcW w:type="dxa" w:w="3168"/>
            <w:shd w:fill="FFFFFF"/>
            <w:tcMar>
              <w:top w:w="80" w:type="dxa"/>
              <w:bottom w:w="80" w:type="dxa"/>
              <w:left w:w="120" w:type="dxa"/>
              <w:right w:w="120" w:type="dxa"/>
            </w:tcMar>
          </w:tcPr>
          <w:p>
            <w:pPr>
              <w:spacing w:after="0" w:line="264" w:lineRule="auto"/>
            </w:pPr>
            <w:r>
              <w:rPr>
                <w:rFonts w:ascii="Arial" w:hAnsi="Arial"/>
                <w:sz w:val="18"/>
              </w:rPr>
              <w:t>[1] J. Smith, "Title of paper," IEEE Trans. Comput., vol. 60, no. 5, pp. 120-130, 2021.</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APA 7th Style</w:t>
            </w:r>
          </w:p>
        </w:tc>
        <w:tc>
          <w:tcPr>
            <w:tcW w:type="dxa" w:w="3168"/>
            <w:shd w:fill="F4F8FA"/>
            <w:tcMar>
              <w:top w:w="80" w:type="dxa"/>
              <w:bottom w:w="80" w:type="dxa"/>
              <w:left w:w="120" w:type="dxa"/>
              <w:right w:w="120" w:type="dxa"/>
            </w:tcMar>
          </w:tcPr>
          <w:p>
            <w:pPr>
              <w:spacing w:after="0" w:line="264" w:lineRule="auto"/>
            </w:pPr>
            <w:r>
              <w:rPr>
                <w:rFonts w:ascii="Arial" w:hAnsi="Arial"/>
                <w:sz w:val="18"/>
              </w:rPr>
              <w:t>Khoa học Xã hội, Tâm lý, Giáo dục, Môi trường</w:t>
            </w:r>
          </w:p>
        </w:tc>
        <w:tc>
          <w:tcPr>
            <w:tcW w:type="dxa" w:w="2880"/>
            <w:shd w:fill="F4F8FA"/>
            <w:tcMar>
              <w:top w:w="80" w:type="dxa"/>
              <w:bottom w:w="80" w:type="dxa"/>
              <w:left w:w="120" w:type="dxa"/>
              <w:right w:w="120" w:type="dxa"/>
            </w:tcMar>
          </w:tcPr>
          <w:p>
            <w:pPr>
              <w:spacing w:after="0" w:line="264" w:lineRule="auto"/>
            </w:pPr>
            <w:r>
              <w:rPr>
                <w:rFonts w:ascii="Arial" w:hAnsi="Arial"/>
                <w:sz w:val="18"/>
              </w:rPr>
              <w:t>Dùng họ tác giả và năm: (Smith, 2021)</w:t>
            </w:r>
          </w:p>
        </w:tc>
        <w:tc>
          <w:tcPr>
            <w:tcW w:type="dxa" w:w="3168"/>
            <w:shd w:fill="F4F8FA"/>
            <w:tcMar>
              <w:top w:w="80" w:type="dxa"/>
              <w:bottom w:w="80" w:type="dxa"/>
              <w:left w:w="120" w:type="dxa"/>
              <w:right w:w="120" w:type="dxa"/>
            </w:tcMar>
          </w:tcPr>
          <w:p>
            <w:pPr>
              <w:spacing w:after="0" w:line="264" w:lineRule="auto"/>
            </w:pPr>
            <w:r>
              <w:rPr>
                <w:rFonts w:ascii="Arial" w:hAnsi="Arial"/>
                <w:sz w:val="18"/>
              </w:rPr>
              <w:t>Smith, J. (2021). Title of paper. Journal Name, 60(5), 120-130.</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ACS Style</w:t>
            </w:r>
          </w:p>
        </w:tc>
        <w:tc>
          <w:tcPr>
            <w:tcW w:type="dxa" w:w="3168"/>
            <w:shd w:fill="FFFFFF"/>
            <w:tcMar>
              <w:top w:w="80" w:type="dxa"/>
              <w:bottom w:w="80" w:type="dxa"/>
              <w:left w:w="120" w:type="dxa"/>
              <w:right w:w="120" w:type="dxa"/>
            </w:tcMar>
          </w:tcPr>
          <w:p>
            <w:pPr>
              <w:spacing w:after="0" w:line="264" w:lineRule="auto"/>
            </w:pPr>
            <w:r>
              <w:rPr>
                <w:rFonts w:ascii="Arial" w:hAnsi="Arial"/>
                <w:sz w:val="18"/>
              </w:rPr>
              <w:t>Hóa học, Hóa dược, Công nghệ Sinh học</w:t>
            </w:r>
          </w:p>
        </w:tc>
        <w:tc>
          <w:tcPr>
            <w:tcW w:type="dxa" w:w="2880"/>
            <w:shd w:fill="FFFFFF"/>
            <w:tcMar>
              <w:top w:w="80" w:type="dxa"/>
              <w:bottom w:w="80" w:type="dxa"/>
              <w:left w:w="120" w:type="dxa"/>
              <w:right w:w="120" w:type="dxa"/>
            </w:tcMar>
          </w:tcPr>
          <w:p>
            <w:pPr>
              <w:spacing w:after="0" w:line="264" w:lineRule="auto"/>
            </w:pPr>
            <w:r>
              <w:rPr>
                <w:rFonts w:ascii="Arial" w:hAnsi="Arial"/>
                <w:sz w:val="18"/>
              </w:rPr>
              <w:t>Dùng số chỉ số trên đầu (Superscript)¹ hoặc (1)</w:t>
            </w:r>
          </w:p>
        </w:tc>
        <w:tc>
          <w:tcPr>
            <w:tcW w:type="dxa" w:w="3168"/>
            <w:shd w:fill="FFFFFF"/>
            <w:tcMar>
              <w:top w:w="80" w:type="dxa"/>
              <w:bottom w:w="80" w:type="dxa"/>
              <w:left w:w="120" w:type="dxa"/>
              <w:right w:w="120" w:type="dxa"/>
            </w:tcMar>
          </w:tcPr>
          <w:p>
            <w:pPr>
              <w:spacing w:after="0" w:line="264" w:lineRule="auto"/>
            </w:pPr>
            <w:r>
              <w:rPr>
                <w:rFonts w:ascii="Arial" w:hAnsi="Arial"/>
                <w:sz w:val="18"/>
              </w:rPr>
              <w:t>1. Smith, J. Title of Paper. J. Am. Chem. Soc. 2021, 143, 120-130.</w:t>
            </w:r>
          </w:p>
        </w:tc>
      </w:tr>
    </w:tbl>
    <w:p>
      <w:pPr>
        <w:spacing w:after="80"/>
      </w:pPr>
    </w:p>
    <w:p>
      <w:pPr>
        <w:keepNext/>
        <w:spacing w:before="240" w:after="100"/>
      </w:pPr>
      <w:r>
        <w:rPr>
          <w:rFonts w:ascii="Arial" w:hAnsi="Arial"/>
          <w:b/>
          <w:color w:val="1B5E94"/>
          <w:sz w:val="24"/>
        </w:rPr>
        <w:t>4.3 Quy Định Về Liêm Chính Học Thuật &amp; Kiểm Tra Turnitin Tại HCMUS</w:t>
      </w:r>
    </w:p>
    <w:p>
      <w:pPr>
        <w:spacing w:after="80" w:line="276" w:lineRule="auto"/>
      </w:pPr>
      <w:r>
        <w:rPr>
          <w:rFonts w:ascii="Arial" w:hAnsi="Arial"/>
          <w:i w:val="0"/>
          <w:sz w:val="20"/>
        </w:rPr>
        <w:t>Trường ĐH Khoa học Tự nhiên áp dụng quy chế liêm chính học thuật nghiêm ngặt đối với tất cả đồ án môn học, báo cáo NCKH và Khóa luận tốt nghiệp cử nhân:</w:t>
        <w:br/>
        <w:t>• Phần mềm kiểm tra: Sử dụng phần mềm quét trùng lặp quốc tế Turnitin thông qua tài khoản giảng viên hướng dẫn hoặc bộ phận Giáo vụ Khoa.</w:t>
        <w:br/>
        <w:t>• Ngưỡng trùng lặp cho phép (Similarity Index): Tỷ lệ tương đồng tổng thể thường KHÔNG ĐƯỢC VƯỢT QUÁ 20% ĐẾN 25% (tùy quy định cụ thể của từng Khoa), và không có nguồn đơn lẻ nào trùng lặp quá 3%.</w:t>
        <w:br/>
        <w:t>• Những nội dung được loại trừ khỏi quét: Danh mục tài liệu tham khảo (Bibliography), các cụm từ trích dẫn nguyên văn đặt trong ngoặc kép hợp lệ (Quotes), và các công thức toán học/hóa học tiêu chuẩn.</w:t>
        <w:br/>
        <w:t>• Kỹ thuật Paraphrase chuẩn mực: Viết lại ý tưởng của tác giả bằng câu từ và ngữ pháp của chính mình, sau đó bắt buộc phải ghi nguồn trích dẫn. Tuyệt đối không sao chép nguyên văn rồi chỉ đổi vài từ đồng nghĩa (đây vẫn bị tính là đạo văn cấu trúc).</w:t>
      </w:r>
    </w:p>
    <w:p>
      <w:r>
        <w:br w:type="page"/>
      </w:r>
    </w:p>
    <w:p>
      <w:pPr>
        <w:keepNext/>
        <w:spacing w:before="360" w:after="160"/>
      </w:pPr>
      <w:r>
        <w:rPr>
          <w:rFonts w:ascii="Arial" w:hAnsi="Arial"/>
          <w:b/>
          <w:color w:val="003366"/>
          <w:sz w:val="30"/>
        </w:rPr>
        <w:t>PHẦN 5: TRÍCH LƯỢC QUY CHẾ ĐÀO TẠO &amp; KHẢO THÍ LIÊN QUAN ĐẾN KHÓA LUẬN (QĐ 1175)</w:t>
      </w:r>
    </w:p>
    <w:p>
      <w:pPr>
        <w:spacing w:after="80" w:line="276" w:lineRule="auto"/>
      </w:pPr>
      <w:r>
        <w:rPr>
          <w:rFonts w:ascii="Arial" w:hAnsi="Arial"/>
          <w:i/>
          <w:sz w:val="20"/>
        </w:rPr>
        <w:t>Trích lục Điều 5 Quy chế Đào tạo tín chỉ về Đồ án, Khóa luận tốt nghiệp:</w:t>
      </w:r>
    </w:p>
    <w:p>
      <w:pPr>
        <w:spacing w:after="80" w:line="276" w:lineRule="auto"/>
      </w:pPr>
      <w:r>
        <w:rPr>
          <w:rFonts w:ascii="Arial" w:hAnsi="Arial"/>
          <w:i w:val="0"/>
          <w:sz w:val="20"/>
        </w:rPr>
        <w:t>TRÍCH LƯỢC</w:t>
      </w:r>
    </w:p>
    <w:p>
      <w:pPr>
        <w:spacing w:after="80" w:line="276" w:lineRule="auto"/>
      </w:pPr>
      <w:r>
        <w:rPr>
          <w:rFonts w:ascii="Arial" w:hAnsi="Arial"/>
          <w:i w:val="0"/>
          <w:sz w:val="20"/>
        </w:rPr>
        <w:t>QUY CHẾ ĐÀO TẠO TRÌNH ĐỘ ĐẠI HỌC</w:t>
      </w:r>
    </w:p>
    <w:p>
      <w:pPr>
        <w:spacing w:after="80" w:line="276" w:lineRule="auto"/>
      </w:pPr>
      <w:r>
        <w:rPr>
          <w:rFonts w:ascii="Arial" w:hAnsi="Arial"/>
          <w:i w:val="0"/>
          <w:sz w:val="20"/>
        </w:rPr>
        <w:t>TRƯỜNG ĐẠI HỌC KHOA HỌC TỰ NHIÊN, ĐHQG-HCM</w:t>
      </w:r>
    </w:p>
    <w:p>
      <w:pPr>
        <w:spacing w:after="80" w:line="276" w:lineRule="auto"/>
      </w:pPr>
      <w:r>
        <w:rPr>
          <w:rFonts w:ascii="Arial" w:hAnsi="Arial"/>
          <w:i w:val="0"/>
          <w:sz w:val="20"/>
        </w:rPr>
        <w:t>(Ban hành kèm theo Quyết định số 1175/QĐ-KHTN ngày 24/9/2021</w:t>
      </w:r>
    </w:p>
    <w:p>
      <w:pPr>
        <w:spacing w:after="80" w:line="276" w:lineRule="auto"/>
      </w:pPr>
      <w:r>
        <w:rPr>
          <w:rFonts w:ascii="Arial" w:hAnsi="Arial"/>
          <w:i w:val="0"/>
          <w:sz w:val="20"/>
        </w:rPr>
        <w:t>của Hiệu trưởng Trường Đại học Khoa học tự nhiên, ĐHQG-HCM)</w:t>
      </w:r>
    </w:p>
    <w:p>
      <w:pPr>
        <w:spacing w:after="80" w:line="276" w:lineRule="auto"/>
      </w:pPr>
      <w:r>
        <w:rPr>
          <w:rFonts w:ascii="Arial" w:hAnsi="Arial"/>
          <w:i w:val="0"/>
          <w:sz w:val="20"/>
        </w:rPr>
        <w:t>Chương I</w:t>
      </w:r>
    </w:p>
    <w:p>
      <w:pPr>
        <w:spacing w:after="80" w:line="276" w:lineRule="auto"/>
      </w:pPr>
      <w:r>
        <w:rPr>
          <w:rFonts w:ascii="Arial" w:hAnsi="Arial"/>
          <w:i w:val="0"/>
          <w:sz w:val="20"/>
        </w:rPr>
        <w:t>NHỮNG QUY ĐỊNH CHUNG</w:t>
      </w:r>
    </w:p>
    <w:p>
      <w:pPr>
        <w:spacing w:after="80" w:line="276" w:lineRule="auto"/>
      </w:pPr>
      <w:r>
        <w:rPr>
          <w:rFonts w:ascii="Arial" w:hAnsi="Arial"/>
          <w:i w:val="0"/>
          <w:sz w:val="20"/>
        </w:rPr>
        <w:t>Điều 1.  Phạm vi điều chỉnh và đối tượng áp dụng</w:t>
      </w:r>
    </w:p>
    <w:p>
      <w:pPr>
        <w:keepNext/>
        <w:spacing w:before="160" w:after="60"/>
      </w:pPr>
      <w:r>
        <w:rPr>
          <w:rFonts w:ascii="Arial" w:hAnsi="Arial"/>
          <w:b/>
          <w:color w:val="222222"/>
          <w:sz w:val="21"/>
        </w:rPr>
        <w:t>1. Quy chế này quy định chung về tổ chức và quản lý đào tạo trình độ</w:t>
      </w:r>
    </w:p>
    <w:p>
      <w:pPr>
        <w:spacing w:after="80" w:line="276" w:lineRule="auto"/>
      </w:pPr>
      <w:r>
        <w:rPr>
          <w:rFonts w:ascii="Arial" w:hAnsi="Arial"/>
          <w:i w:val="0"/>
          <w:sz w:val="20"/>
        </w:rPr>
        <w:t>đại học theo phương thức đào tạo tín chỉ của Trường Đại học Khoa học tự nhiên,</w:t>
      </w:r>
    </w:p>
    <w:p>
      <w:pPr>
        <w:spacing w:after="80" w:line="276" w:lineRule="auto"/>
      </w:pPr>
      <w:r>
        <w:rPr>
          <w:rFonts w:ascii="Arial" w:hAnsi="Arial"/>
          <w:i w:val="0"/>
          <w:sz w:val="20"/>
        </w:rPr>
        <w:t>Đại học Quốc Gia Thành Phố Hồ Chí Minh (sau đây gọi tắt là Trường) bao gồm:</w:t>
      </w:r>
    </w:p>
    <w:p>
      <w:pPr>
        <w:spacing w:after="80" w:line="276" w:lineRule="auto"/>
      </w:pPr>
      <w:r>
        <w:rPr>
          <w:rFonts w:ascii="Arial" w:hAnsi="Arial"/>
          <w:i w:val="0"/>
          <w:sz w:val="20"/>
        </w:rPr>
        <w:t>Chương trình đào tạo và thời gian học tập; hình thức và phương thức tổ chức</w:t>
      </w:r>
    </w:p>
    <w:p>
      <w:pPr>
        <w:spacing w:after="80" w:line="276" w:lineRule="auto"/>
      </w:pPr>
      <w:r>
        <w:rPr>
          <w:rFonts w:ascii="Arial" w:hAnsi="Arial"/>
          <w:i w:val="0"/>
          <w:sz w:val="20"/>
        </w:rPr>
        <w:t>đào tạo; lập kế hoạch và tổ chức giảng dạy; đánh giá kết quả học tập và cấp</w:t>
      </w:r>
    </w:p>
    <w:p>
      <w:pPr>
        <w:spacing w:after="80" w:line="276" w:lineRule="auto"/>
      </w:pPr>
      <w:r>
        <w:rPr>
          <w:rFonts w:ascii="Arial" w:hAnsi="Arial"/>
          <w:i w:val="0"/>
          <w:sz w:val="20"/>
        </w:rPr>
        <w:t>bằng tốt nghiệp; những quy định khác đối với sinh viên.</w:t>
      </w:r>
    </w:p>
    <w:p>
      <w:pPr>
        <w:keepNext/>
        <w:spacing w:before="160" w:after="60"/>
      </w:pPr>
      <w:r>
        <w:rPr>
          <w:rFonts w:ascii="Arial" w:hAnsi="Arial"/>
          <w:b/>
          <w:color w:val="222222"/>
          <w:sz w:val="21"/>
        </w:rPr>
        <w:t>2. Quy chế này áp dụng đối với sinh viên đại học hệ chính quy các khóa</w:t>
      </w:r>
    </w:p>
    <w:p>
      <w:pPr>
        <w:spacing w:after="80" w:line="276" w:lineRule="auto"/>
      </w:pPr>
      <w:r>
        <w:rPr>
          <w:rFonts w:ascii="Arial" w:hAnsi="Arial"/>
          <w:i w:val="0"/>
          <w:sz w:val="20"/>
        </w:rPr>
        <w:t>đào tạo, các đơn vị, cá nhân thuộc Trường có liên quan trong đào tạo trình độ</w:t>
      </w:r>
    </w:p>
    <w:p>
      <w:pPr>
        <w:spacing w:after="80" w:line="276" w:lineRule="auto"/>
      </w:pPr>
      <w:r>
        <w:rPr>
          <w:rFonts w:ascii="Arial" w:hAnsi="Arial"/>
          <w:i w:val="0"/>
          <w:sz w:val="20"/>
        </w:rPr>
        <w:t>đại học theo phương thức đào tạo tín chỉ.</w:t>
      </w:r>
    </w:p>
    <w:p>
      <w:pPr>
        <w:keepNext/>
        <w:spacing w:before="160" w:after="60"/>
      </w:pPr>
      <w:r>
        <w:rPr>
          <w:rFonts w:ascii="Arial" w:hAnsi="Arial"/>
          <w:b/>
          <w:color w:val="222222"/>
          <w:sz w:val="21"/>
        </w:rPr>
        <w:t>3. Quy chế này là căn cứ để Trường xây dựng và ban hành các văn bản</w:t>
      </w:r>
    </w:p>
    <w:p>
      <w:pPr>
        <w:spacing w:after="80" w:line="276" w:lineRule="auto"/>
      </w:pPr>
      <w:r>
        <w:rPr>
          <w:rFonts w:ascii="Arial" w:hAnsi="Arial"/>
          <w:i w:val="0"/>
          <w:sz w:val="20"/>
        </w:rPr>
        <w:t>quy định cụ thể liên quan đến tổ chức và quản lý đào tạo trình độ đại học hệ</w:t>
      </w:r>
    </w:p>
    <w:p>
      <w:pPr>
        <w:spacing w:after="80" w:line="276" w:lineRule="auto"/>
      </w:pPr>
      <w:r>
        <w:rPr>
          <w:rFonts w:ascii="Arial" w:hAnsi="Arial"/>
          <w:i w:val="0"/>
          <w:sz w:val="20"/>
        </w:rPr>
        <w:t>chính quy theo phương thức đào tạo tín chỉ.</w:t>
      </w:r>
    </w:p>
    <w:p>
      <w:pPr>
        <w:spacing w:after="80" w:line="276" w:lineRule="auto"/>
      </w:pPr>
      <w:r>
        <w:rPr>
          <w:rFonts w:ascii="Arial" w:hAnsi="Arial"/>
          <w:i w:val="0"/>
          <w:sz w:val="20"/>
        </w:rPr>
        <w:t>Điều 2.  Chương trình đào tạo và thời gian học tập</w:t>
      </w:r>
    </w:p>
    <w:p>
      <w:pPr>
        <w:keepNext/>
        <w:spacing w:before="160" w:after="60"/>
      </w:pPr>
      <w:r>
        <w:rPr>
          <w:rFonts w:ascii="Arial" w:hAnsi="Arial"/>
          <w:b/>
          <w:color w:val="222222"/>
          <w:sz w:val="21"/>
        </w:rPr>
        <w:t>1. Chương trình đào tạo được xây dựng theo đơn vị tín chỉ, cấu trúc từ</w:t>
      </w:r>
    </w:p>
    <w:p>
      <w:pPr>
        <w:spacing w:after="80" w:line="276" w:lineRule="auto"/>
      </w:pPr>
      <w:r>
        <w:rPr>
          <w:rFonts w:ascii="Arial" w:hAnsi="Arial"/>
          <w:i w:val="0"/>
          <w:sz w:val="20"/>
        </w:rPr>
        <w:t>các môn học hoặc học phần (sau đây gọi chung là học phần), trong đó phải có</w:t>
      </w:r>
    </w:p>
    <w:p>
      <w:pPr>
        <w:spacing w:after="80" w:line="276" w:lineRule="auto"/>
      </w:pPr>
      <w:r>
        <w:rPr>
          <w:rFonts w:ascii="Arial" w:hAnsi="Arial"/>
          <w:i w:val="0"/>
          <w:sz w:val="20"/>
        </w:rPr>
        <w:t>đủ các học phần bắt buộc và đáp ứng chuẩn chương trình đào tạo theo quy</w:t>
      </w:r>
    </w:p>
    <w:p>
      <w:pPr>
        <w:spacing w:after="80" w:line="276" w:lineRule="auto"/>
      </w:pPr>
      <w:r>
        <w:rPr>
          <w:rFonts w:ascii="Arial" w:hAnsi="Arial"/>
          <w:i w:val="0"/>
          <w:sz w:val="20"/>
        </w:rPr>
        <w:t>định hiện hành của Bộ Giáo dục và Đào tạo. Trong trường hợp đào tạo song</w:t>
      </w:r>
    </w:p>
    <w:p>
      <w:pPr>
        <w:spacing w:after="80" w:line="276" w:lineRule="auto"/>
      </w:pPr>
      <w:r>
        <w:rPr>
          <w:rFonts w:ascii="Arial" w:hAnsi="Arial"/>
          <w:i w:val="0"/>
          <w:sz w:val="20"/>
        </w:rPr>
        <w:t>ngành hoặc ngành chính - ngành phụ, chương trình đào tạo phải thể hiện rõ</w:t>
      </w:r>
    </w:p>
    <w:p>
      <w:pPr>
        <w:spacing w:after="80" w:line="276" w:lineRule="auto"/>
      </w:pPr>
      <w:r>
        <w:rPr>
          <w:rFonts w:ascii="Arial" w:hAnsi="Arial"/>
          <w:i w:val="0"/>
          <w:sz w:val="20"/>
        </w:rPr>
        <w:t>khối lượng học tập chung và riêng theo từng ngành.</w:t>
      </w:r>
    </w:p>
    <w:p>
      <w:pPr>
        <w:keepNext/>
        <w:spacing w:before="160" w:after="60"/>
      </w:pPr>
      <w:r>
        <w:rPr>
          <w:rFonts w:ascii="Arial" w:hAnsi="Arial"/>
          <w:b/>
          <w:color w:val="222222"/>
          <w:sz w:val="21"/>
        </w:rPr>
        <w:t>2. Chương trình đào tạo là những thông tin cơ bản mà sinh viên cần nắm</w:t>
      </w:r>
    </w:p>
    <w:p>
      <w:pPr>
        <w:spacing w:after="80" w:line="276" w:lineRule="auto"/>
      </w:pPr>
      <w:r>
        <w:rPr>
          <w:rFonts w:ascii="Arial" w:hAnsi="Arial"/>
          <w:i w:val="0"/>
          <w:sz w:val="20"/>
        </w:rPr>
        <w:t>vững trong quá trình học tập, bao gồm: trình độ đào tạo, mục tiêu đào tạo, đối</w:t>
      </w:r>
    </w:p>
    <w:p>
      <w:pPr>
        <w:spacing w:after="80" w:line="276" w:lineRule="auto"/>
      </w:pPr>
      <w:r>
        <w:rPr>
          <w:rFonts w:ascii="Arial" w:hAnsi="Arial"/>
          <w:i w:val="0"/>
          <w:sz w:val="20"/>
        </w:rPr>
        <w:t>tượng đào tạo, chuẩn đầu ra kiến thức, kỹ năng, thái độ, trách nhiệm nghề</w:t>
      </w:r>
    </w:p>
    <w:p>
      <w:pPr>
        <w:spacing w:after="80" w:line="276" w:lineRule="auto"/>
      </w:pPr>
      <w:r>
        <w:rPr>
          <w:rFonts w:ascii="Arial" w:hAnsi="Arial"/>
          <w:i w:val="0"/>
          <w:sz w:val="20"/>
        </w:rPr>
        <w:t>nghiệp của sinh viên khi tốt nghiệp; khối lượng kiến thức, cấu trúc của chương</w:t>
      </w:r>
    </w:p>
    <w:p>
      <w:pPr>
        <w:spacing w:after="80" w:line="276" w:lineRule="auto"/>
      </w:pPr>
      <w:r>
        <w:rPr>
          <w:rFonts w:ascii="Arial" w:hAnsi="Arial"/>
          <w:i w:val="0"/>
          <w:sz w:val="20"/>
        </w:rPr>
        <w:t>trình đào tạo; khối lượng kiến thức lý thuyết, thực hành, thực tập của các học</w:t>
      </w:r>
    </w:p>
    <w:p>
      <w:pPr>
        <w:spacing w:after="80" w:line="276" w:lineRule="auto"/>
      </w:pPr>
      <w:r>
        <w:rPr>
          <w:rFonts w:ascii="Arial" w:hAnsi="Arial"/>
          <w:i w:val="0"/>
          <w:sz w:val="20"/>
        </w:rPr>
        <w:t>phần; kế hoạch đào tạo theo thời gian thiết kế; phương pháp và hình thức đánh</w:t>
      </w:r>
    </w:p>
    <w:p>
      <w:pPr>
        <w:spacing w:after="80" w:line="276" w:lineRule="auto"/>
      </w:pPr>
      <w:r>
        <w:rPr>
          <w:rFonts w:ascii="Arial" w:hAnsi="Arial"/>
          <w:i w:val="0"/>
          <w:sz w:val="20"/>
        </w:rPr>
        <w:t>giá đối với học phần; điều kiện tốt nghiệp; các điều kiện thực hiện chương trình.</w:t>
      </w:r>
    </w:p>
    <w:p>
      <w:pPr>
        <w:keepNext/>
        <w:spacing w:before="160" w:after="60"/>
      </w:pPr>
      <w:r>
        <w:rPr>
          <w:rFonts w:ascii="Arial" w:hAnsi="Arial"/>
          <w:b/>
          <w:color w:val="222222"/>
          <w:sz w:val="21"/>
        </w:rPr>
        <w:t>3. Chương trình đào tạo bao gồm khối kiến thức giáo dục đại cương và</w:t>
      </w:r>
    </w:p>
    <w:p>
      <w:pPr>
        <w:spacing w:after="80" w:line="276" w:lineRule="auto"/>
      </w:pPr>
      <w:r>
        <w:rPr>
          <w:rFonts w:ascii="Arial" w:hAnsi="Arial"/>
          <w:i w:val="0"/>
          <w:sz w:val="20"/>
        </w:rPr>
        <w:t>giáo dục chuyên nghiệp. Khối kiến thức giáo dục đại cương nhằm trang bị cho</w:t>
      </w:r>
    </w:p>
    <w:p>
      <w:pPr>
        <w:spacing w:after="80" w:line="276" w:lineRule="auto"/>
      </w:pPr>
      <w:r>
        <w:rPr>
          <w:rFonts w:ascii="Arial" w:hAnsi="Arial"/>
          <w:i w:val="0"/>
          <w:sz w:val="20"/>
        </w:rPr>
        <w:t>sinh viên nền học vấn rộng; có thế giới quan khoa học và nhân sinh quan đúng</w:t>
      </w:r>
    </w:p>
    <w:p>
      <w:pPr>
        <w:spacing w:after="80" w:line="276" w:lineRule="auto"/>
      </w:pPr>
      <w:r>
        <w:rPr>
          <w:rFonts w:ascii="Arial" w:hAnsi="Arial"/>
          <w:i w:val="0"/>
          <w:sz w:val="20"/>
        </w:rPr>
        <w:t>đắn; hiểu biết về tự nhiên, xã hội và con người; nắm vững phương pháp tư duy</w:t>
      </w:r>
    </w:p>
    <w:p>
      <w:pPr>
        <w:spacing w:after="80" w:line="276" w:lineRule="auto"/>
      </w:pPr>
      <w:r>
        <w:rPr>
          <w:rFonts w:ascii="Arial" w:hAnsi="Arial"/>
          <w:i w:val="0"/>
          <w:sz w:val="20"/>
        </w:rPr>
        <w:t>khoa học; có đạo đức, nhận thức trách nhiệm công dân; có năng lực tham gia</w:t>
      </w:r>
    </w:p>
    <w:p>
      <w:pPr>
        <w:spacing w:after="80" w:line="276" w:lineRule="auto"/>
      </w:pPr>
      <w:r>
        <w:rPr>
          <w:rFonts w:ascii="Arial" w:hAnsi="Arial"/>
          <w:i w:val="0"/>
          <w:sz w:val="20"/>
        </w:rPr>
        <w:t>xây dựng và bảo vệ đất nước, trong đó các học phần bắt buộc phải có theo quy</w:t>
      </w:r>
    </w:p>
    <w:p>
      <w:pPr>
        <w:spacing w:after="80" w:line="276" w:lineRule="auto"/>
      </w:pPr>
      <w:r>
        <w:rPr>
          <w:rFonts w:ascii="Arial" w:hAnsi="Arial"/>
          <w:i w:val="0"/>
          <w:sz w:val="20"/>
        </w:rPr>
        <w:t>định của Bộ Giáo dục và Đào tạo bao gồm: lý luận chính trị, pháp luật, giáo dục</w:t>
      </w:r>
    </w:p>
    <w:p>
      <w:pPr>
        <w:spacing w:after="80" w:line="276" w:lineRule="auto"/>
      </w:pPr>
      <w:r>
        <w:rPr>
          <w:rFonts w:ascii="Arial" w:hAnsi="Arial"/>
          <w:i w:val="0"/>
          <w:sz w:val="20"/>
        </w:rPr>
        <w:t>thể chất, giáo dục quốc phòng - an ninh theo quy định hiện hành. Khối kiến thức</w:t>
      </w:r>
    </w:p>
    <w:p>
      <w:pPr>
        <w:spacing w:after="80" w:line="276" w:lineRule="auto"/>
      </w:pPr>
      <w:r>
        <w:rPr>
          <w:rFonts w:ascii="Arial" w:hAnsi="Arial"/>
          <w:i w:val="0"/>
          <w:sz w:val="20"/>
        </w:rPr>
        <w:t>giáo dục chuyên nghiệp được thể hiện theo 2 nhóm gồm nhóm kiến thức cơ sở</w:t>
      </w:r>
    </w:p>
    <w:p>
      <w:pPr>
        <w:spacing w:after="80" w:line="276" w:lineRule="auto"/>
      </w:pPr>
      <w:r>
        <w:rPr>
          <w:rFonts w:ascii="Arial" w:hAnsi="Arial"/>
          <w:i w:val="0"/>
          <w:sz w:val="20"/>
        </w:rPr>
        <w:t>ngành và nhóm kiến thức chuyên ngành, nhằm cung cấp cho sinh viên những</w:t>
      </w:r>
    </w:p>
    <w:p>
      <w:pPr>
        <w:spacing w:after="80" w:line="276" w:lineRule="auto"/>
      </w:pPr>
      <w:r>
        <w:rPr>
          <w:rFonts w:ascii="Arial" w:hAnsi="Arial"/>
          <w:i w:val="0"/>
          <w:sz w:val="20"/>
        </w:rPr>
        <w:t>kiến thức và kỹ năng nghề nghiệp ban đầu cần thiết.</w:t>
      </w:r>
    </w:p>
    <w:p>
      <w:pPr>
        <w:keepNext/>
        <w:spacing w:before="160" w:after="60"/>
      </w:pPr>
      <w:r>
        <w:rPr>
          <w:rFonts w:ascii="Arial" w:hAnsi="Arial"/>
          <w:b/>
          <w:color w:val="222222"/>
          <w:sz w:val="21"/>
        </w:rPr>
        <w:t>4. Nội dung, chuẩn đầu ra của chương trình đào tạo áp dụng chung đối</w:t>
      </w:r>
    </w:p>
    <w:p>
      <w:pPr>
        <w:spacing w:after="80" w:line="276" w:lineRule="auto"/>
      </w:pPr>
      <w:r>
        <w:rPr>
          <w:rFonts w:ascii="Arial" w:hAnsi="Arial"/>
          <w:i w:val="0"/>
          <w:sz w:val="20"/>
        </w:rPr>
        <w:t>với các hình thức, phương thức tổ chức đào tạo và đối tượng người học khác</w:t>
      </w:r>
    </w:p>
    <w:p>
      <w:pPr>
        <w:spacing w:after="80" w:line="276" w:lineRule="auto"/>
      </w:pPr>
      <w:r>
        <w:rPr>
          <w:rFonts w:ascii="Arial" w:hAnsi="Arial"/>
          <w:i w:val="0"/>
          <w:sz w:val="20"/>
        </w:rPr>
        <w:t>nhau. Đối với người đã tốt nghiệp trình độ khác hoặc ngành khác, khối lượng</w:t>
      </w:r>
    </w:p>
    <w:p>
      <w:pPr>
        <w:spacing w:after="80" w:line="276" w:lineRule="auto"/>
      </w:pPr>
      <w:r>
        <w:rPr>
          <w:rFonts w:ascii="Arial" w:hAnsi="Arial"/>
          <w:i w:val="0"/>
          <w:sz w:val="20"/>
        </w:rPr>
        <w:t>học tập thực tế được xác định trên cơ sở công nhận, hoặc chuyển đổi tín chỉ đã</w:t>
      </w:r>
    </w:p>
    <w:p>
      <w:pPr>
        <w:spacing w:after="80" w:line="276" w:lineRule="auto"/>
      </w:pPr>
      <w:r>
        <w:rPr>
          <w:rFonts w:ascii="Arial" w:hAnsi="Arial"/>
          <w:i w:val="0"/>
          <w:sz w:val="20"/>
        </w:rPr>
        <w:t>tích lũy và miễn trừ học phần trong chương trình đào tạo trước.</w:t>
      </w:r>
    </w:p>
    <w:p>
      <w:pPr>
        <w:spacing w:after="80" w:line="276" w:lineRule="auto"/>
      </w:pPr>
      <w:r>
        <w:rPr>
          <w:rFonts w:ascii="Arial" w:hAnsi="Arial"/>
          <w:i w:val="0"/>
          <w:sz w:val="20"/>
        </w:rPr>
        <w:t>5. Chương trình đào tạo phải được công khai đối với người học trước khi</w:t>
      </w:r>
    </w:p>
    <w:p>
      <w:pPr>
        <w:spacing w:after="80" w:line="276" w:lineRule="auto"/>
      </w:pPr>
      <w:r>
        <w:rPr>
          <w:rFonts w:ascii="Arial" w:hAnsi="Arial"/>
          <w:i w:val="0"/>
          <w:sz w:val="20"/>
        </w:rPr>
        <w:t>tuyển sinh và khi bắt đầu khóa học; những thay đổi, điều chỉnh liên quan đến</w:t>
      </w:r>
    </w:p>
    <w:p>
      <w:pPr>
        <w:spacing w:after="80" w:line="276" w:lineRule="auto"/>
      </w:pPr>
      <w:r>
        <w:rPr>
          <w:rFonts w:ascii="Arial" w:hAnsi="Arial"/>
          <w:i w:val="0"/>
          <w:sz w:val="20"/>
        </w:rPr>
        <w:t>chương trình đào tạo được thực hiện theo quy định hiện hành và công bố trước</w:t>
      </w:r>
    </w:p>
    <w:p>
      <w:pPr>
        <w:spacing w:after="80" w:line="276" w:lineRule="auto"/>
      </w:pPr>
      <w:r>
        <w:rPr>
          <w:rFonts w:ascii="Arial" w:hAnsi="Arial"/>
          <w:i w:val="0"/>
          <w:sz w:val="20"/>
        </w:rPr>
        <w:t>khi áp dụng, không gây tác động bất lợi cho sinh viên.</w:t>
      </w:r>
    </w:p>
    <w:p>
      <w:pPr>
        <w:spacing w:after="80" w:line="276" w:lineRule="auto"/>
      </w:pPr>
      <w:r>
        <w:rPr>
          <w:rFonts w:ascii="Arial" w:hAnsi="Arial"/>
          <w:i w:val="0"/>
          <w:sz w:val="20"/>
        </w:rPr>
        <w:t>6. Đối với mỗi hình thức đào tạo, chương trình đào tạo được cung cấp kế</w:t>
      </w:r>
    </w:p>
    <w:p>
      <w:pPr>
        <w:spacing w:after="80" w:line="276" w:lineRule="auto"/>
      </w:pPr>
      <w:r>
        <w:rPr>
          <w:rFonts w:ascii="Arial" w:hAnsi="Arial"/>
          <w:i w:val="0"/>
          <w:sz w:val="20"/>
        </w:rPr>
        <w:t>hoạch học tập chuẩn toàn khoá để định hướng cho sinh viên. Thời gian theo kế</w:t>
      </w:r>
    </w:p>
    <w:p>
      <w:pPr>
        <w:spacing w:after="80" w:line="276" w:lineRule="auto"/>
      </w:pPr>
      <w:r>
        <w:rPr>
          <w:rFonts w:ascii="Arial" w:hAnsi="Arial"/>
          <w:i w:val="0"/>
          <w:sz w:val="20"/>
        </w:rPr>
        <w:t>hoạch học tập chuẩn toàn khoá đối với hình thức đào tạo chính quy phải phù</w:t>
      </w:r>
    </w:p>
    <w:p>
      <w:pPr>
        <w:spacing w:after="80" w:line="276" w:lineRule="auto"/>
      </w:pPr>
      <w:r>
        <w:rPr>
          <w:rFonts w:ascii="Arial" w:hAnsi="Arial"/>
          <w:i w:val="0"/>
          <w:sz w:val="20"/>
        </w:rPr>
        <w:t>hợp với thời gian quy định trong Khung cơ cấu hệ thống giáo dục quốc dân,</w:t>
      </w:r>
    </w:p>
    <w:p>
      <w:pPr>
        <w:spacing w:after="80" w:line="276" w:lineRule="auto"/>
      </w:pPr>
      <w:r>
        <w:rPr>
          <w:rFonts w:ascii="Arial" w:hAnsi="Arial"/>
          <w:i w:val="0"/>
          <w:sz w:val="20"/>
        </w:rPr>
        <w:t>đồng thời đảm bảo đa số sinh viên hoàn thành chương trình đào tạo.</w:t>
      </w:r>
    </w:p>
    <w:p>
      <w:pPr>
        <w:spacing w:after="80" w:line="276" w:lineRule="auto"/>
      </w:pPr>
      <w:r>
        <w:rPr>
          <w:rFonts w:ascii="Arial" w:hAnsi="Arial"/>
          <w:i w:val="0"/>
          <w:sz w:val="20"/>
        </w:rPr>
        <w:t>7. Thời gian tối đa để sinh viên hoàn thành khóa học</w:t>
      </w:r>
    </w:p>
    <w:p>
      <w:pPr>
        <w:spacing w:after="80" w:line="276" w:lineRule="auto"/>
      </w:pPr>
      <w:r>
        <w:rPr>
          <w:rFonts w:ascii="Arial" w:hAnsi="Arial"/>
          <w:i w:val="0"/>
          <w:sz w:val="20"/>
        </w:rPr>
        <w:t>Tùy theo khả năng học tập, sinh viên được rút ngắn hoặc kéo dài thời gian</w:t>
      </w:r>
    </w:p>
    <w:p>
      <w:pPr>
        <w:spacing w:after="80" w:line="276" w:lineRule="auto"/>
      </w:pPr>
      <w:r>
        <w:rPr>
          <w:rFonts w:ascii="Arial" w:hAnsi="Arial"/>
          <w:i w:val="0"/>
          <w:sz w:val="20"/>
        </w:rPr>
        <w:t>học như sau:</w:t>
      </w:r>
    </w:p>
    <w:p>
      <w:pPr>
        <w:spacing w:after="80" w:line="276" w:lineRule="auto"/>
      </w:pPr>
      <w:r>
        <w:rPr>
          <w:rFonts w:ascii="Arial" w:hAnsi="Arial"/>
          <w:i w:val="0"/>
          <w:sz w:val="20"/>
        </w:rPr>
        <w:t>a) Sinh viên được phép rút ngắn tối đa một (01) năm học và kéo dài thêm</w:t>
      </w:r>
    </w:p>
    <w:p>
      <w:pPr>
        <w:spacing w:after="80" w:line="276" w:lineRule="auto"/>
      </w:pPr>
      <w:r>
        <w:rPr>
          <w:rFonts w:ascii="Arial" w:hAnsi="Arial"/>
          <w:i w:val="0"/>
          <w:sz w:val="20"/>
        </w:rPr>
        <w:t>không vượt quá ba (03) năm học theo kế hoạch học tập. Riêng đối với chương</w:t>
      </w:r>
    </w:p>
    <w:p>
      <w:pPr>
        <w:spacing w:after="80" w:line="276" w:lineRule="auto"/>
      </w:pPr>
      <w:r>
        <w:rPr>
          <w:rFonts w:ascii="Arial" w:hAnsi="Arial"/>
          <w:i w:val="0"/>
          <w:sz w:val="20"/>
        </w:rPr>
        <w:t>trình liên thông đại học, sinh viên kéo dài thêm không vượt quá hai (02) năm</w:t>
      </w:r>
    </w:p>
    <w:p>
      <w:pPr>
        <w:spacing w:after="80" w:line="276" w:lineRule="auto"/>
      </w:pPr>
      <w:r>
        <w:rPr>
          <w:rFonts w:ascii="Arial" w:hAnsi="Arial"/>
          <w:i w:val="0"/>
          <w:sz w:val="20"/>
        </w:rPr>
        <w:t>học theo kế hoạch học tập.</w:t>
      </w:r>
    </w:p>
    <w:p>
      <w:pPr>
        <w:spacing w:after="80" w:line="276" w:lineRule="auto"/>
      </w:pPr>
      <w:r>
        <w:rPr>
          <w:rFonts w:ascii="Arial" w:hAnsi="Arial"/>
          <w:i w:val="0"/>
          <w:sz w:val="20"/>
        </w:rPr>
        <w:t>b) Quá thời hạn tối đa của khóa học, sinh viên sẽ bị xóa tên khỏi danh</w:t>
      </w:r>
    </w:p>
    <w:p>
      <w:pPr>
        <w:spacing w:after="80" w:line="276" w:lineRule="auto"/>
      </w:pPr>
      <w:r>
        <w:rPr>
          <w:rFonts w:ascii="Arial" w:hAnsi="Arial"/>
          <w:i w:val="0"/>
          <w:sz w:val="20"/>
        </w:rPr>
        <w:t>sách sinh viên của Trường.</w:t>
      </w:r>
    </w:p>
    <w:p>
      <w:pPr>
        <w:spacing w:after="80" w:line="276" w:lineRule="auto"/>
      </w:pPr>
      <w:r>
        <w:rPr>
          <w:rFonts w:ascii="Arial" w:hAnsi="Arial"/>
          <w:i w:val="0"/>
          <w:sz w:val="20"/>
        </w:rPr>
        <w:t>c) Tùy vào trường hợp cụ thể, Hiệu trưởng xem xét và gia hạn thêm thời</w:t>
      </w:r>
    </w:p>
    <w:p>
      <w:pPr>
        <w:spacing w:after="80" w:line="276" w:lineRule="auto"/>
      </w:pPr>
      <w:r>
        <w:rPr>
          <w:rFonts w:ascii="Arial" w:hAnsi="Arial"/>
          <w:i w:val="0"/>
          <w:sz w:val="20"/>
        </w:rPr>
        <w:t>gian đào tạo cho sinh viên nhưng không được vượt quá hai lần thời gian thiết kế</w:t>
      </w:r>
    </w:p>
    <w:p>
      <w:pPr>
        <w:spacing w:after="80" w:line="276" w:lineRule="auto"/>
      </w:pPr>
      <w:r>
        <w:rPr>
          <w:rFonts w:ascii="Arial" w:hAnsi="Arial"/>
          <w:i w:val="0"/>
          <w:sz w:val="20"/>
        </w:rPr>
        <w:t>của khóa học tương ứng với mỗi chương trình đào tạo.</w:t>
      </w:r>
    </w:p>
    <w:p>
      <w:pPr>
        <w:spacing w:after="80" w:line="276" w:lineRule="auto"/>
      </w:pPr>
      <w:r>
        <w:rPr>
          <w:rFonts w:ascii="Arial" w:hAnsi="Arial"/>
          <w:i w:val="0"/>
          <w:sz w:val="20"/>
        </w:rPr>
        <w:t>Điều 3.  Học phần, đề cương chi tiết học phần và tín chỉ</w:t>
      </w:r>
    </w:p>
    <w:p>
      <w:pPr>
        <w:keepNext/>
        <w:spacing w:before="160" w:after="60"/>
      </w:pPr>
      <w:r>
        <w:rPr>
          <w:rFonts w:ascii="Arial" w:hAnsi="Arial"/>
          <w:b/>
          <w:color w:val="222222"/>
          <w:sz w:val="21"/>
        </w:rPr>
        <w:t>1. Học phần</w:t>
      </w:r>
    </w:p>
    <w:p>
      <w:pPr>
        <w:spacing w:after="80" w:line="276" w:lineRule="auto"/>
      </w:pPr>
      <w:r>
        <w:rPr>
          <w:rFonts w:ascii="Arial" w:hAnsi="Arial"/>
          <w:i w:val="0"/>
          <w:sz w:val="20"/>
        </w:rPr>
        <w:t>a) Học phần là một tập hợp hoạt động giảng dạy và học tập được thiết</w:t>
      </w:r>
    </w:p>
    <w:p>
      <w:pPr>
        <w:spacing w:after="80" w:line="276" w:lineRule="auto"/>
      </w:pPr>
      <w:r>
        <w:rPr>
          <w:rFonts w:ascii="Arial" w:hAnsi="Arial"/>
          <w:i w:val="0"/>
          <w:sz w:val="20"/>
        </w:rPr>
        <w:t>kế nhằm thực hiện một số mục tiêu học tập cụ thể, trang bị cho người học</w:t>
      </w:r>
    </w:p>
    <w:p>
      <w:pPr>
        <w:spacing w:after="80" w:line="276" w:lineRule="auto"/>
      </w:pPr>
      <w:r>
        <w:rPr>
          <w:rFonts w:ascii="Arial" w:hAnsi="Arial"/>
          <w:i w:val="0"/>
          <w:sz w:val="20"/>
        </w:rPr>
        <w:t>những kiến thức, kỹ năng thuộc một phạm vi chuyên môn hẹp trong chương</w:t>
      </w:r>
    </w:p>
    <w:p>
      <w:pPr>
        <w:spacing w:after="80" w:line="276" w:lineRule="auto"/>
      </w:pPr>
      <w:r>
        <w:rPr>
          <w:rFonts w:ascii="Arial" w:hAnsi="Arial"/>
          <w:i w:val="0"/>
          <w:sz w:val="20"/>
        </w:rPr>
        <w:t>trình đào tạo. Một học phần thông thường được tổ chức giảng dạy, học tập trong</w:t>
      </w:r>
    </w:p>
    <w:p>
      <w:pPr>
        <w:spacing w:after="80" w:line="276" w:lineRule="auto"/>
      </w:pPr>
      <w:r>
        <w:rPr>
          <w:rFonts w:ascii="Arial" w:hAnsi="Arial"/>
          <w:i w:val="0"/>
          <w:sz w:val="20"/>
        </w:rPr>
        <w:t>một học kỳ. Mỗi học phần được ký hiệu bằng một mã số riêng do trường quy</w:t>
      </w:r>
    </w:p>
    <w:p>
      <w:pPr>
        <w:spacing w:after="80" w:line="276" w:lineRule="auto"/>
      </w:pPr>
      <w:r>
        <w:rPr>
          <w:rFonts w:ascii="Arial" w:hAnsi="Arial"/>
          <w:i w:val="0"/>
          <w:sz w:val="20"/>
        </w:rPr>
        <w:t>định.</w:t>
      </w:r>
    </w:p>
    <w:p>
      <w:pPr>
        <w:spacing w:after="80" w:line="276" w:lineRule="auto"/>
      </w:pPr>
      <w:r>
        <w:rPr>
          <w:rFonts w:ascii="Arial" w:hAnsi="Arial"/>
          <w:i w:val="0"/>
          <w:sz w:val="20"/>
        </w:rPr>
        <w:t>b) Có hai loại học phần: học phần bắt buộc và học phần tự chọn.</w:t>
      </w:r>
    </w:p>
    <w:p>
      <w:pPr>
        <w:pStyle w:val="ListBullet"/>
        <w:spacing w:after="60" w:line="276" w:lineRule="auto"/>
      </w:pPr>
      <w:r>
        <w:rPr>
          <w:rFonts w:ascii="Arial" w:hAnsi="Arial"/>
          <w:sz w:val="20"/>
        </w:rPr>
        <w:t>Học phần bắt buộc là học phần chứa đựng những nội dung kiến thức</w:t>
      </w:r>
    </w:p>
    <w:p>
      <w:pPr>
        <w:spacing w:after="80" w:line="276" w:lineRule="auto"/>
      </w:pPr>
      <w:r>
        <w:rPr>
          <w:rFonts w:ascii="Arial" w:hAnsi="Arial"/>
          <w:i w:val="0"/>
          <w:sz w:val="20"/>
        </w:rPr>
        <w:t>chính yếu của mỗi chương trình đào tạo và bắt buộc sinh viên phải tích lũy.</w:t>
      </w:r>
    </w:p>
    <w:p>
      <w:pPr>
        <w:pStyle w:val="ListBullet"/>
        <w:spacing w:after="60" w:line="276" w:lineRule="auto"/>
      </w:pPr>
      <w:r>
        <w:rPr>
          <w:rFonts w:ascii="Arial" w:hAnsi="Arial"/>
          <w:sz w:val="20"/>
        </w:rPr>
        <w:t>Học phần tự chọn là học phần chứa đựng những nội dung kiến thức</w:t>
      </w:r>
    </w:p>
    <w:p>
      <w:pPr>
        <w:spacing w:after="80" w:line="276" w:lineRule="auto"/>
      </w:pPr>
      <w:r>
        <w:rPr>
          <w:rFonts w:ascii="Arial" w:hAnsi="Arial"/>
          <w:i w:val="0"/>
          <w:sz w:val="20"/>
        </w:rPr>
        <w:t>cần thiết, nhưng sinh viên được tự chọn theo hướng dẫn của Trường nhằm đa</w:t>
      </w:r>
    </w:p>
    <w:p>
      <w:pPr>
        <w:spacing w:after="80" w:line="276" w:lineRule="auto"/>
      </w:pPr>
      <w:r>
        <w:rPr>
          <w:rFonts w:ascii="Arial" w:hAnsi="Arial"/>
          <w:i w:val="0"/>
          <w:sz w:val="20"/>
        </w:rPr>
        <w:t>dạng hoá hướng chuyên môn hoặc được tự chọn tùy ý để tích lũy đủ số học</w:t>
      </w:r>
    </w:p>
    <w:p>
      <w:pPr>
        <w:spacing w:after="80" w:line="276" w:lineRule="auto"/>
      </w:pPr>
      <w:r>
        <w:rPr>
          <w:rFonts w:ascii="Arial" w:hAnsi="Arial"/>
          <w:i w:val="0"/>
          <w:sz w:val="20"/>
        </w:rPr>
        <w:t>phần/số tín chỉ quy định cho mỗi chương trình đào tạo.</w:t>
      </w:r>
    </w:p>
    <w:p>
      <w:pPr>
        <w:spacing w:after="80" w:line="276" w:lineRule="auto"/>
      </w:pPr>
      <w:r>
        <w:rPr>
          <w:rFonts w:ascii="Arial" w:hAnsi="Arial"/>
          <w:i w:val="0"/>
          <w:sz w:val="20"/>
        </w:rPr>
        <w:t>c) Ngoài việc được phân loại là bắt buộc hoặc tự chọn, các học phần có</w:t>
      </w:r>
    </w:p>
    <w:p>
      <w:pPr>
        <w:spacing w:after="80" w:line="276" w:lineRule="auto"/>
      </w:pPr>
      <w:r>
        <w:rPr>
          <w:rFonts w:ascii="Arial" w:hAnsi="Arial"/>
          <w:i w:val="0"/>
          <w:sz w:val="20"/>
        </w:rPr>
        <w:t>các khái niệm khác như sau:</w:t>
      </w:r>
    </w:p>
    <w:p>
      <w:pPr>
        <w:pStyle w:val="ListBullet"/>
        <w:spacing w:after="60" w:line="276" w:lineRule="auto"/>
      </w:pPr>
      <w:r>
        <w:rPr>
          <w:rFonts w:ascii="Arial" w:hAnsi="Arial"/>
          <w:sz w:val="20"/>
        </w:rPr>
        <w:t>Học phần chung là các học phần được giảng dạy chung cho tất cả các</w:t>
      </w:r>
    </w:p>
    <w:p>
      <w:pPr>
        <w:spacing w:after="80" w:line="276" w:lineRule="auto"/>
      </w:pPr>
      <w:r>
        <w:rPr>
          <w:rFonts w:ascii="Arial" w:hAnsi="Arial"/>
          <w:i w:val="0"/>
          <w:sz w:val="20"/>
        </w:rPr>
        <w:t>ngành theo quy định (Giáo dục Quốc phòng - An ninh, Giáo dục Thể chất, các</w:t>
      </w:r>
    </w:p>
    <w:p>
      <w:pPr>
        <w:spacing w:after="80" w:line="276" w:lineRule="auto"/>
      </w:pPr>
      <w:r>
        <w:rPr>
          <w:rFonts w:ascii="Arial" w:hAnsi="Arial"/>
          <w:i w:val="0"/>
          <w:sz w:val="20"/>
        </w:rPr>
        <w:t>học phần lý luận chính trị, pháp luật…)</w:t>
      </w:r>
    </w:p>
    <w:p>
      <w:pPr>
        <w:pStyle w:val="ListBullet"/>
        <w:spacing w:after="60" w:line="276" w:lineRule="auto"/>
      </w:pPr>
      <w:r>
        <w:rPr>
          <w:rFonts w:ascii="Arial" w:hAnsi="Arial"/>
          <w:sz w:val="20"/>
        </w:rPr>
        <w:t>Học phần tiên quyết: học phần tiên quyết đối với học phần A là học</w:t>
      </w:r>
    </w:p>
    <w:p>
      <w:pPr>
        <w:spacing w:after="80" w:line="276" w:lineRule="auto"/>
      </w:pPr>
      <w:r>
        <w:rPr>
          <w:rFonts w:ascii="Arial" w:hAnsi="Arial"/>
          <w:i w:val="0"/>
          <w:sz w:val="20"/>
        </w:rPr>
        <w:t>phần mà viên phải học và thi đạt mới được đăng ký và theo học học phần A.</w:t>
      </w:r>
    </w:p>
    <w:p>
      <w:pPr>
        <w:pStyle w:val="ListBullet"/>
        <w:spacing w:after="60" w:line="276" w:lineRule="auto"/>
      </w:pPr>
      <w:r>
        <w:rPr>
          <w:rFonts w:ascii="Arial" w:hAnsi="Arial"/>
          <w:sz w:val="20"/>
        </w:rPr>
        <w:t>Học phần học trước: học phần học trước với học phần A là học phần</w:t>
      </w:r>
    </w:p>
    <w:p>
      <w:pPr>
        <w:spacing w:after="80" w:line="276" w:lineRule="auto"/>
      </w:pPr>
      <w:r>
        <w:rPr>
          <w:rFonts w:ascii="Arial" w:hAnsi="Arial"/>
          <w:i w:val="0"/>
          <w:sz w:val="20"/>
        </w:rPr>
        <w:t>mà sinh viên phải hoàn thành quá trình học tập trước khi đăng ký và theo</w:t>
      </w:r>
    </w:p>
    <w:p>
      <w:pPr>
        <w:spacing w:after="80" w:line="276" w:lineRule="auto"/>
      </w:pPr>
      <w:r>
        <w:rPr>
          <w:rFonts w:ascii="Arial" w:hAnsi="Arial"/>
          <w:i w:val="0"/>
          <w:sz w:val="20"/>
        </w:rPr>
        <w:t>học học phần A.</w:t>
      </w:r>
    </w:p>
    <w:p>
      <w:pPr>
        <w:pStyle w:val="ListBullet"/>
        <w:spacing w:after="60" w:line="276" w:lineRule="auto"/>
      </w:pPr>
      <w:r>
        <w:rPr>
          <w:rFonts w:ascii="Arial" w:hAnsi="Arial"/>
          <w:sz w:val="20"/>
        </w:rPr>
        <w:t>Học phần song hành: hai học phần được gọi là song hành khi sinh</w:t>
      </w:r>
    </w:p>
    <w:p>
      <w:pPr>
        <w:spacing w:after="80" w:line="276" w:lineRule="auto"/>
      </w:pPr>
      <w:r>
        <w:rPr>
          <w:rFonts w:ascii="Arial" w:hAnsi="Arial"/>
          <w:i w:val="0"/>
          <w:sz w:val="20"/>
        </w:rPr>
        <w:t>viên đăng ký học phần này thì bắt buộc phải đăng ký học phần kia.</w:t>
      </w:r>
    </w:p>
    <w:p>
      <w:pPr>
        <w:pStyle w:val="ListBullet"/>
        <w:spacing w:after="60" w:line="276" w:lineRule="auto"/>
      </w:pPr>
      <w:r>
        <w:rPr>
          <w:rFonts w:ascii="Arial" w:hAnsi="Arial"/>
          <w:sz w:val="20"/>
        </w:rPr>
        <w:t>Học phần thay thế: là học phần được sử dụng thay thế cho một học</w:t>
      </w:r>
    </w:p>
    <w:p>
      <w:pPr>
        <w:spacing w:after="80" w:line="276" w:lineRule="auto"/>
      </w:pPr>
      <w:r>
        <w:rPr>
          <w:rFonts w:ascii="Arial" w:hAnsi="Arial"/>
          <w:i w:val="0"/>
          <w:sz w:val="20"/>
        </w:rPr>
        <w:t>phần đã được thay đổi hoặc điều chỉnh, không còn tổ chức giảng dạy trong</w:t>
      </w:r>
    </w:p>
    <w:p>
      <w:pPr>
        <w:spacing w:after="80" w:line="276" w:lineRule="auto"/>
      </w:pPr>
      <w:r>
        <w:rPr>
          <w:rFonts w:ascii="Arial" w:hAnsi="Arial"/>
          <w:i w:val="0"/>
          <w:sz w:val="20"/>
        </w:rPr>
        <w:t>chương trình đào tạo.</w:t>
      </w:r>
    </w:p>
    <w:p>
      <w:pPr>
        <w:pStyle w:val="ListBullet"/>
        <w:spacing w:after="60" w:line="276" w:lineRule="auto"/>
      </w:pPr>
      <w:r>
        <w:rPr>
          <w:rFonts w:ascii="Arial" w:hAnsi="Arial"/>
          <w:sz w:val="20"/>
        </w:rPr>
        <w:t>Học phần tương đương: một học phần được gọi là tương đương với</w:t>
      </w:r>
    </w:p>
    <w:p>
      <w:pPr>
        <w:spacing w:after="80" w:line="276" w:lineRule="auto"/>
      </w:pPr>
      <w:r>
        <w:rPr>
          <w:rFonts w:ascii="Arial" w:hAnsi="Arial"/>
          <w:i w:val="0"/>
          <w:sz w:val="20"/>
        </w:rPr>
        <w:t>học phần A khi có nội dung kiến thức và thời lượng đáp ứng yêu cầu cơ bản của</w:t>
      </w:r>
    </w:p>
    <w:p>
      <w:pPr>
        <w:spacing w:after="80" w:line="276" w:lineRule="auto"/>
      </w:pPr>
      <w:r>
        <w:rPr>
          <w:rFonts w:ascii="Arial" w:hAnsi="Arial"/>
          <w:i w:val="0"/>
          <w:sz w:val="20"/>
        </w:rPr>
        <w:t>học phần A.</w:t>
      </w:r>
    </w:p>
    <w:p>
      <w:pPr>
        <w:pStyle w:val="ListBullet"/>
        <w:spacing w:after="60" w:line="276" w:lineRule="auto"/>
      </w:pPr>
      <w:r>
        <w:rPr>
          <w:rFonts w:ascii="Arial" w:hAnsi="Arial"/>
          <w:sz w:val="20"/>
        </w:rPr>
        <w:t>Học phần tự chọn định hướng: là học phần mà sinh viên phải chọn</w:t>
      </w:r>
    </w:p>
    <w:p>
      <w:pPr>
        <w:spacing w:after="80" w:line="276" w:lineRule="auto"/>
      </w:pPr>
      <w:r>
        <w:rPr>
          <w:rFonts w:ascii="Arial" w:hAnsi="Arial"/>
          <w:i w:val="0"/>
          <w:sz w:val="20"/>
        </w:rPr>
        <w:t>trong các học phần định hướng cho một ngành, chuyên ngành cụ thể.</w:t>
      </w:r>
    </w:p>
    <w:p>
      <w:pPr>
        <w:keepNext/>
        <w:spacing w:before="160" w:after="60"/>
      </w:pPr>
      <w:r>
        <w:rPr>
          <w:rFonts w:ascii="Arial" w:hAnsi="Arial"/>
          <w:b/>
          <w:color w:val="222222"/>
          <w:sz w:val="21"/>
        </w:rPr>
        <w:t>2. Mỗi học phần đều phải có đề cương chi tiết học phần, trong đó phải</w:t>
      </w:r>
    </w:p>
    <w:p>
      <w:pPr>
        <w:spacing w:after="80" w:line="276" w:lineRule="auto"/>
      </w:pPr>
      <w:r>
        <w:rPr>
          <w:rFonts w:ascii="Arial" w:hAnsi="Arial"/>
          <w:i w:val="0"/>
          <w:sz w:val="20"/>
        </w:rPr>
        <w:t>thể hiện rõ: mục tiêu; chuẩn đầu ra; số tín chỉ; số tiết theo cấu trúc học phần;</w:t>
      </w:r>
    </w:p>
    <w:p>
      <w:pPr>
        <w:spacing w:after="80" w:line="276" w:lineRule="auto"/>
      </w:pPr>
      <w:r>
        <w:rPr>
          <w:rFonts w:ascii="Arial" w:hAnsi="Arial"/>
          <w:i w:val="0"/>
          <w:sz w:val="20"/>
        </w:rPr>
        <w:t>điều kiện tiên quyết/học trước/song hành (nếu có), nội dung giảng dạy; phương</w:t>
      </w:r>
    </w:p>
    <w:p>
      <w:pPr>
        <w:spacing w:after="80" w:line="276" w:lineRule="auto"/>
      </w:pPr>
      <w:r>
        <w:rPr>
          <w:rFonts w:ascii="Arial" w:hAnsi="Arial"/>
          <w:i w:val="0"/>
          <w:sz w:val="20"/>
        </w:rPr>
        <w:t>pháp giảng dạy và đánh giá kết quả học tập; giáo trình, tài liệu tham khảo và</w:t>
      </w:r>
    </w:p>
    <w:p>
      <w:pPr>
        <w:spacing w:after="80" w:line="276" w:lineRule="auto"/>
      </w:pPr>
      <w:r>
        <w:rPr>
          <w:rFonts w:ascii="Arial" w:hAnsi="Arial"/>
          <w:i w:val="0"/>
          <w:sz w:val="20"/>
        </w:rPr>
        <w:t>các quy định khác (nếu có).</w:t>
      </w:r>
    </w:p>
    <w:p>
      <w:pPr>
        <w:keepNext/>
        <w:spacing w:before="160" w:after="60"/>
      </w:pPr>
      <w:r>
        <w:rPr>
          <w:rFonts w:ascii="Arial" w:hAnsi="Arial"/>
          <w:b/>
          <w:color w:val="222222"/>
          <w:sz w:val="21"/>
        </w:rPr>
        <w:t>3. Tín chỉ được sử dụng để tính khối lượng học tập của sinh viên. Một tín</w:t>
      </w:r>
    </w:p>
    <w:p>
      <w:pPr>
        <w:spacing w:after="80" w:line="276" w:lineRule="auto"/>
      </w:pPr>
      <w:r>
        <w:rPr>
          <w:rFonts w:ascii="Arial" w:hAnsi="Arial"/>
          <w:i w:val="0"/>
          <w:sz w:val="20"/>
        </w:rPr>
        <w:t>chỉ được quy định bằng 15 tiết học lý thuyết; 30 hoặc 45 tiết thực hành, thí</w:t>
      </w:r>
    </w:p>
    <w:p>
      <w:pPr>
        <w:spacing w:after="80" w:line="276" w:lineRule="auto"/>
      </w:pPr>
      <w:r>
        <w:rPr>
          <w:rFonts w:ascii="Arial" w:hAnsi="Arial"/>
          <w:i w:val="0"/>
          <w:sz w:val="20"/>
        </w:rPr>
        <w:t>nghiệm hoặc thảo luận; 15 hoặc 30 tiết bài tập; 30 tiết làm tiểu luận, bài tập lớn</w:t>
      </w:r>
    </w:p>
    <w:p>
      <w:pPr>
        <w:spacing w:after="80" w:line="276" w:lineRule="auto"/>
      </w:pPr>
      <w:r>
        <w:rPr>
          <w:rFonts w:ascii="Arial" w:hAnsi="Arial"/>
          <w:i w:val="0"/>
          <w:sz w:val="20"/>
        </w:rPr>
        <w:t>hoặc đồ án, khóa luận tốt nghiệp.</w:t>
      </w:r>
    </w:p>
    <w:p>
      <w:pPr>
        <w:keepNext/>
        <w:spacing w:before="160" w:after="60"/>
      </w:pPr>
      <w:r>
        <w:rPr>
          <w:rFonts w:ascii="Arial" w:hAnsi="Arial"/>
          <w:b/>
          <w:color w:val="222222"/>
          <w:sz w:val="21"/>
        </w:rPr>
        <w:t>4. Một tiết học được tính bằng 50 phút giảng dạy trực tiếp trên lớp.</w:t>
      </w:r>
    </w:p>
    <w:p>
      <w:pPr>
        <w:spacing w:after="80" w:line="276" w:lineRule="auto"/>
      </w:pPr>
      <w:r>
        <w:rPr>
          <w:rFonts w:ascii="Arial" w:hAnsi="Arial"/>
          <w:i w:val="0"/>
          <w:sz w:val="20"/>
        </w:rPr>
        <w:t>Điều 4.  Phương thức tổ chức đào tạo</w:t>
      </w:r>
    </w:p>
    <w:p>
      <w:pPr>
        <w:keepNext/>
        <w:spacing w:before="160" w:after="60"/>
      </w:pPr>
      <w:r>
        <w:rPr>
          <w:rFonts w:ascii="Arial" w:hAnsi="Arial"/>
          <w:b/>
          <w:color w:val="222222"/>
          <w:sz w:val="21"/>
        </w:rPr>
        <w:t>1. Trường Đại học Khoa học Tự nhiên, Đại học Quốc Gia Thành Phố Hồ</w:t>
      </w:r>
    </w:p>
    <w:p>
      <w:pPr>
        <w:spacing w:after="80" w:line="276" w:lineRule="auto"/>
      </w:pPr>
      <w:r>
        <w:rPr>
          <w:rFonts w:ascii="Arial" w:hAnsi="Arial"/>
          <w:i w:val="0"/>
          <w:sz w:val="20"/>
        </w:rPr>
        <w:t>Chí Minh áp dụng đào tạo theo tín chỉ đối với trình độ đại học cho tất cả các</w:t>
      </w:r>
    </w:p>
    <w:p>
      <w:pPr>
        <w:spacing w:after="80" w:line="276" w:lineRule="auto"/>
      </w:pPr>
      <w:r>
        <w:rPr>
          <w:rFonts w:ascii="Arial" w:hAnsi="Arial"/>
          <w:i w:val="0"/>
          <w:sz w:val="20"/>
        </w:rPr>
        <w:t>khóa và hình thức đào tạo.</w:t>
      </w:r>
    </w:p>
    <w:p>
      <w:pPr>
        <w:keepNext/>
        <w:spacing w:before="160" w:after="60"/>
      </w:pPr>
      <w:r>
        <w:rPr>
          <w:rFonts w:ascii="Arial" w:hAnsi="Arial"/>
          <w:b/>
          <w:color w:val="222222"/>
          <w:sz w:val="21"/>
        </w:rPr>
        <w:t>2. Đào tạo theo tín chỉ:</w:t>
      </w:r>
    </w:p>
    <w:p>
      <w:pPr>
        <w:spacing w:after="80" w:line="276" w:lineRule="auto"/>
      </w:pPr>
      <w:r>
        <w:rPr>
          <w:rFonts w:ascii="Arial" w:hAnsi="Arial"/>
          <w:i w:val="0"/>
          <w:sz w:val="20"/>
        </w:rPr>
        <w:t>a) Là phương thức tổ chức đào tạo theo từng lớp học phần, cho phép</w:t>
      </w:r>
    </w:p>
    <w:p>
      <w:pPr>
        <w:spacing w:after="80" w:line="276" w:lineRule="auto"/>
      </w:pPr>
      <w:r>
        <w:rPr>
          <w:rFonts w:ascii="Arial" w:hAnsi="Arial"/>
          <w:i w:val="0"/>
          <w:sz w:val="20"/>
        </w:rPr>
        <w:t>sinh viên tích lũy tín chỉ của từng học phần và thực hiện chương trình đào tạo</w:t>
      </w:r>
    </w:p>
    <w:p>
      <w:pPr>
        <w:spacing w:after="80" w:line="276" w:lineRule="auto"/>
      </w:pPr>
      <w:r>
        <w:rPr>
          <w:rFonts w:ascii="Arial" w:hAnsi="Arial"/>
          <w:i w:val="0"/>
          <w:sz w:val="20"/>
        </w:rPr>
        <w:t>theo kế hoạch học tập của cá nhân, phù hợp với kế hoạch giảng dạy của Trường;</w:t>
      </w:r>
    </w:p>
    <w:p>
      <w:pPr>
        <w:spacing w:after="80" w:line="276" w:lineRule="auto"/>
      </w:pPr>
      <w:r>
        <w:rPr>
          <w:rFonts w:ascii="Arial" w:hAnsi="Arial"/>
          <w:i w:val="0"/>
          <w:sz w:val="20"/>
        </w:rPr>
        <w:t>b) Sinh viên không đạt một học phần bắt buộc sẽ phải học lại học phần</w:t>
      </w:r>
    </w:p>
    <w:p>
      <w:pPr>
        <w:spacing w:after="80" w:line="276" w:lineRule="auto"/>
      </w:pPr>
      <w:r>
        <w:rPr>
          <w:rFonts w:ascii="Arial" w:hAnsi="Arial"/>
          <w:i w:val="0"/>
          <w:sz w:val="20"/>
        </w:rPr>
        <w:t>đó hoặc học một học phần tương đương theo quy định trong chương trình đào</w:t>
      </w:r>
    </w:p>
    <w:p>
      <w:pPr>
        <w:spacing w:after="80" w:line="276" w:lineRule="auto"/>
      </w:pPr>
      <w:r>
        <w:rPr>
          <w:rFonts w:ascii="Arial" w:hAnsi="Arial"/>
          <w:i w:val="0"/>
          <w:sz w:val="20"/>
        </w:rPr>
        <w:t>tạo, hoặc học một học phần thay thế nếu học phần đó không còn được giảng</w:t>
      </w:r>
    </w:p>
    <w:p>
      <w:pPr>
        <w:spacing w:after="80" w:line="276" w:lineRule="auto"/>
      </w:pPr>
      <w:r>
        <w:rPr>
          <w:rFonts w:ascii="Arial" w:hAnsi="Arial"/>
          <w:i w:val="0"/>
          <w:sz w:val="20"/>
        </w:rPr>
        <w:t>dạy;</w:t>
      </w:r>
    </w:p>
    <w:p>
      <w:pPr>
        <w:spacing w:after="80" w:line="276" w:lineRule="auto"/>
      </w:pPr>
      <w:r>
        <w:rPr>
          <w:rFonts w:ascii="Arial" w:hAnsi="Arial"/>
          <w:i w:val="0"/>
          <w:sz w:val="20"/>
        </w:rPr>
        <w:t>c) Sinh viên không đạt một học phần tự chọn sẽ phải học lại học phần</w:t>
      </w:r>
    </w:p>
    <w:p>
      <w:pPr>
        <w:spacing w:after="80" w:line="276" w:lineRule="auto"/>
      </w:pPr>
      <w:r>
        <w:rPr>
          <w:rFonts w:ascii="Arial" w:hAnsi="Arial"/>
          <w:i w:val="0"/>
          <w:sz w:val="20"/>
        </w:rPr>
        <w:t>đó hoặc có thể chọn học một học phần tự chọn khác theo quy định trong chương</w:t>
      </w:r>
    </w:p>
    <w:p>
      <w:pPr>
        <w:spacing w:after="80" w:line="276" w:lineRule="auto"/>
      </w:pPr>
      <w:r>
        <w:rPr>
          <w:rFonts w:ascii="Arial" w:hAnsi="Arial"/>
          <w:i w:val="0"/>
          <w:sz w:val="20"/>
        </w:rPr>
        <w:t>trình đào tạo.</w:t>
      </w:r>
    </w:p>
    <w:p>
      <w:pPr>
        <w:keepNext/>
        <w:spacing w:before="240" w:after="100"/>
      </w:pPr>
      <w:r>
        <w:rPr>
          <w:rFonts w:ascii="Arial" w:hAnsi="Arial"/>
          <w:b/>
          <w:color w:val="003366"/>
          <w:sz w:val="24"/>
        </w:rPr>
        <w:t>Điều 5.  Hình thức đào tạo</w:t>
      </w:r>
    </w:p>
    <w:p>
      <w:pPr>
        <w:keepNext/>
        <w:spacing w:before="160" w:after="60"/>
      </w:pPr>
      <w:r>
        <w:rPr>
          <w:rFonts w:ascii="Arial" w:hAnsi="Arial"/>
          <w:b/>
          <w:color w:val="222222"/>
          <w:sz w:val="21"/>
        </w:rPr>
        <w:t>1. Đào tạo chính quy</w:t>
      </w:r>
    </w:p>
    <w:p>
      <w:pPr>
        <w:spacing w:after="80" w:line="276" w:lineRule="auto"/>
      </w:pPr>
      <w:r>
        <w:rPr>
          <w:rFonts w:ascii="Arial" w:hAnsi="Arial"/>
          <w:i w:val="0"/>
          <w:sz w:val="20"/>
        </w:rPr>
        <w:t>a) Các hoạt động giảng dạy được thực hiện tại Trường, riêng những hoạt</w:t>
      </w:r>
    </w:p>
    <w:p>
      <w:pPr>
        <w:spacing w:after="80" w:line="276" w:lineRule="auto"/>
      </w:pPr>
      <w:r>
        <w:rPr>
          <w:rFonts w:ascii="Arial" w:hAnsi="Arial"/>
          <w:i w:val="0"/>
          <w:sz w:val="20"/>
        </w:rPr>
        <w:t>động thực hành, thực tập, trải nghiệm thực tế và giảng dạy trực tuyến có thể</w:t>
      </w:r>
    </w:p>
    <w:p>
      <w:pPr>
        <w:spacing w:after="80" w:line="276" w:lineRule="auto"/>
      </w:pPr>
      <w:r>
        <w:rPr>
          <w:rFonts w:ascii="Arial" w:hAnsi="Arial"/>
          <w:i w:val="0"/>
          <w:sz w:val="20"/>
        </w:rPr>
        <w:t>thực hiện ngoài Trường;</w:t>
      </w:r>
    </w:p>
    <w:p>
      <w:pPr>
        <w:spacing w:after="80" w:line="276" w:lineRule="auto"/>
      </w:pPr>
      <w:r>
        <w:rPr>
          <w:rFonts w:ascii="Arial" w:hAnsi="Arial"/>
          <w:i w:val="0"/>
          <w:sz w:val="20"/>
        </w:rPr>
        <w:t>b) Thời gian tổ chức hoạt động giảng dạy trong khoảng từ 06 giờ đến 20</w:t>
      </w:r>
    </w:p>
    <w:p>
      <w:pPr>
        <w:spacing w:after="80" w:line="276" w:lineRule="auto"/>
      </w:pPr>
      <w:r>
        <w:rPr>
          <w:rFonts w:ascii="Arial" w:hAnsi="Arial"/>
          <w:i w:val="0"/>
          <w:sz w:val="20"/>
        </w:rPr>
        <w:t>giờ các ngày trong tuần từ thứ 2 đến thứ 7; thời gian tổ chức những hoạt động</w:t>
      </w:r>
    </w:p>
    <w:p>
      <w:pPr>
        <w:spacing w:after="80" w:line="276" w:lineRule="auto"/>
      </w:pPr>
      <w:r>
        <w:rPr>
          <w:rFonts w:ascii="Arial" w:hAnsi="Arial"/>
          <w:i w:val="0"/>
          <w:sz w:val="20"/>
        </w:rPr>
        <w:t>đặc thù của chương trình đào tạo được thực hiện theo quy định của cơ sở đào</w:t>
      </w:r>
    </w:p>
    <w:p>
      <w:pPr>
        <w:spacing w:after="80" w:line="276" w:lineRule="auto"/>
      </w:pPr>
      <w:r>
        <w:rPr>
          <w:rFonts w:ascii="Arial" w:hAnsi="Arial"/>
          <w:i w:val="0"/>
          <w:sz w:val="20"/>
        </w:rPr>
        <w:t>tạo.</w:t>
      </w:r>
    </w:p>
    <w:p>
      <w:pPr>
        <w:keepNext/>
        <w:spacing w:before="160" w:after="60"/>
      </w:pPr>
      <w:r>
        <w:rPr>
          <w:rFonts w:ascii="Arial" w:hAnsi="Arial"/>
          <w:b/>
          <w:color w:val="222222"/>
          <w:sz w:val="21"/>
        </w:rPr>
        <w:t>2. Đối với các ngành đào tạo ưu tiên phục vụ nguồn nhân lực phát triển</w:t>
      </w:r>
    </w:p>
    <w:p>
      <w:pPr>
        <w:spacing w:after="80" w:line="276" w:lineRule="auto"/>
      </w:pPr>
      <w:r>
        <w:rPr>
          <w:rFonts w:ascii="Arial" w:hAnsi="Arial"/>
          <w:i w:val="0"/>
          <w:sz w:val="20"/>
        </w:rPr>
        <w:t>kinh tế - xã hội trong từng giai đoạn, Trường thực hiện theo hướng dẫn Bộ Giáo</w:t>
      </w:r>
    </w:p>
    <w:p>
      <w:pPr>
        <w:spacing w:after="80" w:line="276" w:lineRule="auto"/>
      </w:pPr>
      <w:r>
        <w:rPr>
          <w:rFonts w:ascii="Arial" w:hAnsi="Arial"/>
          <w:i w:val="0"/>
          <w:sz w:val="20"/>
        </w:rPr>
        <w:t>dục và Đào tạo với các hình thức đào tạo phù hợp.</w:t>
      </w:r>
    </w:p>
    <w:p>
      <w:pPr>
        <w:spacing w:after="80" w:line="276" w:lineRule="auto"/>
      </w:pPr>
      <w:r>
        <w:rPr>
          <w:rFonts w:ascii="Arial" w:hAnsi="Arial"/>
          <w:i w:val="0"/>
          <w:sz w:val="20"/>
        </w:rPr>
        <w:t>Chương II</w:t>
      </w:r>
    </w:p>
    <w:p>
      <w:pPr>
        <w:spacing w:after="80" w:line="276" w:lineRule="auto"/>
      </w:pPr>
      <w:r>
        <w:rPr>
          <w:rFonts w:ascii="Arial" w:hAnsi="Arial"/>
          <w:i w:val="0"/>
          <w:sz w:val="20"/>
        </w:rPr>
        <w:t>LẬP KẾ HOẠCH VÀ TỔ CHỨC GIẢNG DẠY</w:t>
      </w:r>
    </w:p>
    <w:p>
      <w:pPr>
        <w:spacing w:after="80" w:line="276" w:lineRule="auto"/>
      </w:pPr>
      <w:r>
        <w:rPr>
          <w:rFonts w:ascii="Arial" w:hAnsi="Arial"/>
          <w:i w:val="0"/>
          <w:sz w:val="20"/>
        </w:rPr>
        <w:t>Điều 6.  Kế hoạch giảng dạy và học tập</w:t>
      </w:r>
    </w:p>
    <w:p>
      <w:pPr>
        <w:keepNext/>
        <w:spacing w:before="160" w:after="60"/>
      </w:pPr>
      <w:r>
        <w:rPr>
          <w:rFonts w:ascii="Arial" w:hAnsi="Arial"/>
          <w:b/>
          <w:color w:val="222222"/>
          <w:sz w:val="21"/>
        </w:rPr>
        <w:t>1. Kế hoạch giảng dạy và học tập được tổ chức thực hiện theo khóa học,</w:t>
      </w:r>
    </w:p>
    <w:p>
      <w:pPr>
        <w:spacing w:after="80" w:line="276" w:lineRule="auto"/>
      </w:pPr>
      <w:r>
        <w:rPr>
          <w:rFonts w:ascii="Arial" w:hAnsi="Arial"/>
          <w:i w:val="0"/>
          <w:sz w:val="20"/>
        </w:rPr>
        <w:t>năm học và học kỳ.</w:t>
      </w:r>
    </w:p>
    <w:p>
      <w:pPr>
        <w:keepNext/>
        <w:spacing w:before="160" w:after="60"/>
      </w:pPr>
      <w:r>
        <w:rPr>
          <w:rFonts w:ascii="Arial" w:hAnsi="Arial"/>
          <w:b/>
          <w:color w:val="222222"/>
          <w:sz w:val="21"/>
        </w:rPr>
        <w:t>2. Khoá học là thời gian thiết kế để sinh viên hoàn thành một chương</w:t>
      </w:r>
    </w:p>
    <w:p>
      <w:pPr>
        <w:spacing w:after="80" w:line="276" w:lineRule="auto"/>
      </w:pPr>
      <w:r>
        <w:rPr>
          <w:rFonts w:ascii="Arial" w:hAnsi="Arial"/>
          <w:i w:val="0"/>
          <w:sz w:val="20"/>
        </w:rPr>
        <w:t>trình cụ thể. Tuỳ thuộc vào chương trình đào tạo, khoá học được quy định như</w:t>
      </w:r>
    </w:p>
    <w:p>
      <w:pPr>
        <w:spacing w:after="80" w:line="276" w:lineRule="auto"/>
      </w:pPr>
      <w:r>
        <w:rPr>
          <w:rFonts w:ascii="Arial" w:hAnsi="Arial"/>
          <w:i w:val="0"/>
          <w:sz w:val="20"/>
        </w:rPr>
        <w:t>sau:</w:t>
      </w:r>
    </w:p>
    <w:p>
      <w:pPr>
        <w:spacing w:after="80" w:line="276" w:lineRule="auto"/>
      </w:pPr>
      <w:r>
        <w:rPr>
          <w:rFonts w:ascii="Arial" w:hAnsi="Arial"/>
          <w:i w:val="0"/>
          <w:sz w:val="20"/>
        </w:rPr>
        <w:t>a) Đào tạo trình độ đại học được thực hiện trong bốn năm học.</w:t>
      </w:r>
    </w:p>
    <w:p>
      <w:pPr>
        <w:spacing w:after="80" w:line="276" w:lineRule="auto"/>
      </w:pPr>
      <w:r>
        <w:rPr>
          <w:rFonts w:ascii="Arial" w:hAnsi="Arial"/>
          <w:i w:val="0"/>
          <w:sz w:val="20"/>
        </w:rPr>
        <w:t>b) Đào tạo liên thông từ cao đẳng lên đại học thực hiện từ một năm rưỡi</w:t>
      </w:r>
    </w:p>
    <w:p>
      <w:pPr>
        <w:spacing w:after="80" w:line="276" w:lineRule="auto"/>
      </w:pPr>
      <w:r>
        <w:rPr>
          <w:rFonts w:ascii="Arial" w:hAnsi="Arial"/>
          <w:i w:val="0"/>
          <w:sz w:val="20"/>
        </w:rPr>
        <w:t>đến hai năm học;</w:t>
      </w:r>
    </w:p>
    <w:p>
      <w:pPr>
        <w:spacing w:after="80" w:line="276" w:lineRule="auto"/>
      </w:pPr>
      <w:r>
        <w:rPr>
          <w:rFonts w:ascii="Arial" w:hAnsi="Arial"/>
          <w:i w:val="0"/>
          <w:sz w:val="20"/>
        </w:rPr>
        <w:t>c) Đào tạo liên thông, văn bằng 2: thời gian được xác định trên cơ sở học</w:t>
      </w:r>
    </w:p>
    <w:p>
      <w:pPr>
        <w:spacing w:after="80" w:line="276" w:lineRule="auto"/>
      </w:pPr>
      <w:r>
        <w:rPr>
          <w:rFonts w:ascii="Arial" w:hAnsi="Arial"/>
          <w:i w:val="0"/>
          <w:sz w:val="20"/>
        </w:rPr>
        <w:t>phần và khối lượng tích lũy quy định cho từng chương trình;</w:t>
      </w:r>
    </w:p>
    <w:p>
      <w:pPr>
        <w:keepNext/>
        <w:spacing w:before="160" w:after="60"/>
      </w:pPr>
      <w:r>
        <w:rPr>
          <w:rFonts w:ascii="Arial" w:hAnsi="Arial"/>
          <w:b/>
          <w:color w:val="222222"/>
          <w:sz w:val="21"/>
        </w:rPr>
        <w:t>3. Tổng số tín chỉ trong một khoá học được ghi rõ trong chương trình đào</w:t>
      </w:r>
    </w:p>
    <w:p>
      <w:pPr>
        <w:spacing w:after="80" w:line="276" w:lineRule="auto"/>
      </w:pPr>
      <w:r>
        <w:rPr>
          <w:rFonts w:ascii="Arial" w:hAnsi="Arial"/>
          <w:i w:val="0"/>
          <w:sz w:val="20"/>
        </w:rPr>
        <w:t>tạo. Khối lượng và nội dung kiến thức của khoá học được quy định cụ thể cho</w:t>
      </w:r>
    </w:p>
    <w:p>
      <w:pPr>
        <w:spacing w:after="80" w:line="276" w:lineRule="auto"/>
      </w:pPr>
      <w:r>
        <w:rPr>
          <w:rFonts w:ascii="Arial" w:hAnsi="Arial"/>
          <w:i w:val="0"/>
          <w:sz w:val="20"/>
        </w:rPr>
        <w:t>từng năm học, từng học kỳ trong chương trình.</w:t>
      </w:r>
    </w:p>
    <w:p>
      <w:pPr>
        <w:keepNext/>
        <w:spacing w:before="160" w:after="60"/>
      </w:pPr>
      <w:r>
        <w:rPr>
          <w:rFonts w:ascii="Arial" w:hAnsi="Arial"/>
          <w:b/>
          <w:color w:val="222222"/>
          <w:sz w:val="21"/>
        </w:rPr>
        <w:t>4. Một năm học của Trường được tổ chức như sau:</w:t>
      </w:r>
    </w:p>
    <w:p>
      <w:pPr>
        <w:spacing w:after="80" w:line="276" w:lineRule="auto"/>
      </w:pPr>
      <w:r>
        <w:rPr>
          <w:rFonts w:ascii="Arial" w:hAnsi="Arial"/>
          <w:i w:val="0"/>
          <w:sz w:val="20"/>
        </w:rPr>
        <w:t>a)  Đối với chương trình đại trà: một năm học có hai học kỳ chính, mỗi</w:t>
      </w:r>
    </w:p>
    <w:p>
      <w:pPr>
        <w:spacing w:after="80" w:line="276" w:lineRule="auto"/>
      </w:pPr>
      <w:r>
        <w:rPr>
          <w:rFonts w:ascii="Arial" w:hAnsi="Arial"/>
          <w:i w:val="0"/>
          <w:sz w:val="20"/>
        </w:rPr>
        <w:t>học kỳ chính có 15 tuần thực học. Ngoài hai học kỳ chính, Trường có thể tổ</w:t>
      </w:r>
    </w:p>
    <w:p>
      <w:pPr>
        <w:spacing w:after="80" w:line="276" w:lineRule="auto"/>
      </w:pPr>
      <w:r>
        <w:rPr>
          <w:rFonts w:ascii="Arial" w:hAnsi="Arial"/>
          <w:i w:val="0"/>
          <w:sz w:val="20"/>
        </w:rPr>
        <w:t>chức thêm học kỳ hè để sinh viên có điều kiện được học lại, học cải thiện hoặc</w:t>
      </w:r>
    </w:p>
    <w:p>
      <w:pPr>
        <w:spacing w:after="80" w:line="276" w:lineRule="auto"/>
      </w:pPr>
      <w:r>
        <w:rPr>
          <w:rFonts w:ascii="Arial" w:hAnsi="Arial"/>
          <w:i w:val="0"/>
          <w:sz w:val="20"/>
        </w:rPr>
        <w:t>học vượt. Mỗi học kỳ hè có ít nhất 5 tuần thực học.</w:t>
      </w:r>
    </w:p>
    <w:p>
      <w:pPr>
        <w:spacing w:after="80" w:line="276" w:lineRule="auto"/>
      </w:pPr>
      <w:r>
        <w:rPr>
          <w:rFonts w:ascii="Arial" w:hAnsi="Arial"/>
          <w:i w:val="0"/>
          <w:sz w:val="20"/>
        </w:rPr>
        <w:t>b)  Đối với chương trình Tiên tiến, Liên kết, Chất lượng cao: một năm học</w:t>
      </w:r>
    </w:p>
    <w:p>
      <w:pPr>
        <w:spacing w:after="80" w:line="276" w:lineRule="auto"/>
      </w:pPr>
      <w:r>
        <w:rPr>
          <w:rFonts w:ascii="Arial" w:hAnsi="Arial"/>
          <w:i w:val="0"/>
          <w:sz w:val="20"/>
        </w:rPr>
        <w:t>có 03 học kỳ chính với tổng số tối thiểu 30 tuần lên lớp.</w:t>
      </w:r>
    </w:p>
    <w:p>
      <w:pPr>
        <w:spacing w:after="80" w:line="276" w:lineRule="auto"/>
      </w:pPr>
      <w:r>
        <w:rPr>
          <w:rFonts w:ascii="Arial" w:hAnsi="Arial"/>
          <w:i w:val="0"/>
          <w:sz w:val="20"/>
        </w:rPr>
        <w:t>c) Kế hoạch năm học thể hiện những mốc thời gian chính của các hoạt</w:t>
      </w:r>
    </w:p>
    <w:p>
      <w:pPr>
        <w:spacing w:after="80" w:line="276" w:lineRule="auto"/>
      </w:pPr>
      <w:r>
        <w:rPr>
          <w:rFonts w:ascii="Arial" w:hAnsi="Arial"/>
          <w:i w:val="0"/>
          <w:sz w:val="20"/>
        </w:rPr>
        <w:t>động đào tạo trong năm học cho tất cả hình thức, chương trình đào tạo, được</w:t>
      </w:r>
    </w:p>
    <w:p>
      <w:pPr>
        <w:spacing w:after="80" w:line="276" w:lineRule="auto"/>
      </w:pPr>
      <w:r>
        <w:rPr>
          <w:rFonts w:ascii="Arial" w:hAnsi="Arial"/>
          <w:i w:val="0"/>
          <w:sz w:val="20"/>
        </w:rPr>
        <w:t>công bố kịp thời tới các bên liên quan trước khi bắt đầu năm học.</w:t>
      </w:r>
    </w:p>
    <w:p>
      <w:pPr>
        <w:spacing w:after="80" w:line="276" w:lineRule="auto"/>
      </w:pPr>
      <w:r>
        <w:rPr>
          <w:rFonts w:ascii="Arial" w:hAnsi="Arial"/>
          <w:i w:val="0"/>
          <w:sz w:val="20"/>
        </w:rPr>
        <w:t>5. Kế hoạch học kỳ bao gồm: kế hoạch mở lớp, hình thức dạy và học</w:t>
      </w:r>
    </w:p>
    <w:p>
      <w:pPr>
        <w:spacing w:after="80" w:line="276" w:lineRule="auto"/>
      </w:pPr>
      <w:r>
        <w:rPr>
          <w:rFonts w:ascii="Arial" w:hAnsi="Arial"/>
          <w:i w:val="0"/>
          <w:sz w:val="20"/>
        </w:rPr>
        <w:t>(trực tiếp hoặc trực tuyến), lịch học, lịch thi/kiểm tra của các học phần được tổ</w:t>
      </w:r>
    </w:p>
    <w:p>
      <w:pPr>
        <w:spacing w:after="80" w:line="276" w:lineRule="auto"/>
      </w:pPr>
      <w:r>
        <w:rPr>
          <w:rFonts w:ascii="Arial" w:hAnsi="Arial"/>
          <w:i w:val="0"/>
          <w:sz w:val="20"/>
        </w:rPr>
        <w:t>chức trong học kỳ cho các khoá học, chương trình đào tạo và hình thức đào</w:t>
      </w:r>
    </w:p>
    <w:p>
      <w:pPr>
        <w:spacing w:after="80" w:line="276" w:lineRule="auto"/>
      </w:pPr>
      <w:r>
        <w:rPr>
          <w:rFonts w:ascii="Arial" w:hAnsi="Arial"/>
          <w:i w:val="0"/>
          <w:sz w:val="20"/>
        </w:rPr>
        <w:t>tạo. Kế hoạch học kỳ phải được xây dựng và công bố kịp thời với đầy đủ thông</w:t>
      </w:r>
    </w:p>
    <w:p>
      <w:pPr>
        <w:spacing w:after="80" w:line="276" w:lineRule="auto"/>
      </w:pPr>
      <w:r>
        <w:rPr>
          <w:rFonts w:ascii="Arial" w:hAnsi="Arial"/>
          <w:i w:val="0"/>
          <w:sz w:val="20"/>
        </w:rPr>
        <w:t>tin cần thiết, bảo đảm thuận tiện cho sinh viên xây dựng kế hoạch học tập và</w:t>
      </w:r>
    </w:p>
    <w:p>
      <w:pPr>
        <w:spacing w:after="80" w:line="276" w:lineRule="auto"/>
      </w:pPr>
      <w:r>
        <w:rPr>
          <w:rFonts w:ascii="Arial" w:hAnsi="Arial"/>
          <w:i w:val="0"/>
          <w:sz w:val="20"/>
        </w:rPr>
        <w:t>đăng ký học tập.</w:t>
      </w:r>
    </w:p>
    <w:p>
      <w:pPr>
        <w:spacing w:after="80" w:line="276" w:lineRule="auto"/>
      </w:pPr>
      <w:r>
        <w:rPr>
          <w:rFonts w:ascii="Arial" w:hAnsi="Arial"/>
          <w:i w:val="0"/>
          <w:sz w:val="20"/>
        </w:rPr>
        <w:t>6. Thời khóa biểu thể hiện thời gian, địa điểm, hoạt động dạy và học của</w:t>
      </w:r>
    </w:p>
    <w:p>
      <w:pPr>
        <w:spacing w:after="80" w:line="276" w:lineRule="auto"/>
      </w:pPr>
      <w:r>
        <w:rPr>
          <w:rFonts w:ascii="Arial" w:hAnsi="Arial"/>
          <w:i w:val="0"/>
          <w:sz w:val="20"/>
        </w:rPr>
        <w:t>từng lớp thuộc các khoá học, hình thức và chương trình đào tạo. Thời khóa biểu</w:t>
      </w:r>
    </w:p>
    <w:p>
      <w:pPr>
        <w:spacing w:after="80" w:line="276" w:lineRule="auto"/>
      </w:pPr>
      <w:r>
        <w:rPr>
          <w:rFonts w:ascii="Arial" w:hAnsi="Arial"/>
          <w:i w:val="0"/>
          <w:sz w:val="20"/>
        </w:rPr>
        <w:t>của các lớp học phần bình thường được bố trí đều trong các tuần của học kỳ.</w:t>
      </w:r>
    </w:p>
    <w:p>
      <w:pPr>
        <w:spacing w:after="80" w:line="276" w:lineRule="auto"/>
      </w:pPr>
      <w:r>
        <w:rPr>
          <w:rFonts w:ascii="Arial" w:hAnsi="Arial"/>
          <w:i w:val="0"/>
          <w:sz w:val="20"/>
        </w:rPr>
        <w:t>Trong trường hợp cần thiết phải xếp lịch học tập trung thời gian, số giờ giảng</w:t>
      </w:r>
    </w:p>
    <w:p>
      <w:pPr>
        <w:spacing w:after="80" w:line="276" w:lineRule="auto"/>
      </w:pPr>
      <w:r>
        <w:rPr>
          <w:rFonts w:ascii="Arial" w:hAnsi="Arial"/>
          <w:i w:val="0"/>
          <w:sz w:val="20"/>
        </w:rPr>
        <w:t>đối với một học phần bất kỳ không vượt quá 15 giờ/tuần và 4 giờ/ngày.</w:t>
      </w:r>
    </w:p>
    <w:p>
      <w:pPr>
        <w:spacing w:after="80" w:line="276" w:lineRule="auto"/>
      </w:pPr>
      <w:r>
        <w:rPr>
          <w:rFonts w:ascii="Arial" w:hAnsi="Arial"/>
          <w:i w:val="0"/>
          <w:sz w:val="20"/>
        </w:rPr>
        <w:t>7. Phân bố giờ học</w:t>
      </w:r>
    </w:p>
    <w:p>
      <w:pPr>
        <w:spacing w:after="80" w:line="276" w:lineRule="auto"/>
      </w:pPr>
      <w:r>
        <w:rPr>
          <w:rFonts w:ascii="Arial" w:hAnsi="Arial"/>
          <w:i w:val="0"/>
          <w:sz w:val="20"/>
        </w:rPr>
        <w:t>a) Giờ của tiết học tại cơ sở 227 Nguyễn Văn Cừ:</w:t>
      </w:r>
    </w:p>
    <w:p>
      <w:pPr>
        <w:spacing w:after="80" w:line="276" w:lineRule="auto"/>
      </w:pPr>
      <w:r>
        <w:rPr>
          <w:rFonts w:ascii="Arial" w:hAnsi="Arial"/>
          <w:i w:val="0"/>
          <w:sz w:val="20"/>
        </w:rPr>
        <w:t>Buổi sáng</w:t>
      </w:r>
    </w:p>
    <w:p>
      <w:pPr>
        <w:spacing w:after="80" w:line="276" w:lineRule="auto"/>
      </w:pPr>
      <w:r>
        <w:rPr>
          <w:rFonts w:ascii="Arial" w:hAnsi="Arial"/>
          <w:i w:val="0"/>
          <w:sz w:val="20"/>
        </w:rPr>
        <w:t>Buổi chiều</w:t>
      </w:r>
    </w:p>
    <w:p>
      <w:pPr>
        <w:spacing w:after="80" w:line="276" w:lineRule="auto"/>
      </w:pPr>
      <w:r>
        <w:rPr>
          <w:rFonts w:ascii="Arial" w:hAnsi="Arial"/>
          <w:i w:val="0"/>
          <w:sz w:val="20"/>
        </w:rPr>
        <w:t>Buổi tối</w:t>
      </w:r>
    </w:p>
    <w:p>
      <w:pPr>
        <w:spacing w:after="80" w:line="276" w:lineRule="auto"/>
      </w:pPr>
      <w:r>
        <w:rPr>
          <w:rFonts w:ascii="Arial" w:hAnsi="Arial"/>
          <w:i w:val="0"/>
          <w:sz w:val="20"/>
        </w:rPr>
        <w:t>Tiết 1: 6g40-7g30</w:t>
      </w:r>
    </w:p>
    <w:p>
      <w:pPr>
        <w:spacing w:after="80" w:line="276" w:lineRule="auto"/>
      </w:pPr>
      <w:r>
        <w:rPr>
          <w:rFonts w:ascii="Arial" w:hAnsi="Arial"/>
          <w:i w:val="0"/>
          <w:sz w:val="20"/>
        </w:rPr>
        <w:t>Tiết 7: 12g30-13g20</w:t>
      </w:r>
    </w:p>
    <w:p>
      <w:pPr>
        <w:spacing w:after="80" w:line="276" w:lineRule="auto"/>
      </w:pPr>
      <w:r>
        <w:rPr>
          <w:rFonts w:ascii="Arial" w:hAnsi="Arial"/>
          <w:i w:val="0"/>
          <w:sz w:val="20"/>
        </w:rPr>
        <w:t>Tiết 13:18g00-18g50</w:t>
      </w:r>
    </w:p>
    <w:p>
      <w:pPr>
        <w:spacing w:after="80" w:line="276" w:lineRule="auto"/>
      </w:pPr>
      <w:r>
        <w:rPr>
          <w:rFonts w:ascii="Arial" w:hAnsi="Arial"/>
          <w:i w:val="0"/>
          <w:sz w:val="20"/>
        </w:rPr>
        <w:t>Tiết 2: 7g30-8g20</w:t>
      </w:r>
    </w:p>
    <w:p>
      <w:pPr>
        <w:spacing w:after="80" w:line="276" w:lineRule="auto"/>
      </w:pPr>
      <w:r>
        <w:rPr>
          <w:rFonts w:ascii="Arial" w:hAnsi="Arial"/>
          <w:i w:val="0"/>
          <w:sz w:val="20"/>
        </w:rPr>
        <w:t>Tiết 8: 13g20-14g10</w:t>
      </w:r>
    </w:p>
    <w:p>
      <w:pPr>
        <w:spacing w:after="80" w:line="276" w:lineRule="auto"/>
      </w:pPr>
      <w:r>
        <w:rPr>
          <w:rFonts w:ascii="Arial" w:hAnsi="Arial"/>
          <w:i w:val="0"/>
          <w:sz w:val="20"/>
        </w:rPr>
        <w:t>Tiết 14: 18g50-19g40</w:t>
      </w:r>
    </w:p>
    <w:p>
      <w:pPr>
        <w:spacing w:after="80" w:line="276" w:lineRule="auto"/>
      </w:pPr>
      <w:r>
        <w:rPr>
          <w:rFonts w:ascii="Arial" w:hAnsi="Arial"/>
          <w:i w:val="0"/>
          <w:sz w:val="20"/>
        </w:rPr>
        <w:t>Tiết 3: 8g30-9g20</w:t>
      </w:r>
    </w:p>
    <w:p>
      <w:pPr>
        <w:spacing w:after="80" w:line="276" w:lineRule="auto"/>
      </w:pPr>
      <w:r>
        <w:rPr>
          <w:rFonts w:ascii="Arial" w:hAnsi="Arial"/>
          <w:i w:val="0"/>
          <w:sz w:val="20"/>
        </w:rPr>
        <w:t>Tiết 9: 14g20-15g10</w:t>
      </w:r>
    </w:p>
    <w:p>
      <w:pPr>
        <w:spacing w:after="80" w:line="276" w:lineRule="auto"/>
      </w:pPr>
      <w:r>
        <w:rPr>
          <w:rFonts w:ascii="Arial" w:hAnsi="Arial"/>
          <w:i w:val="0"/>
          <w:sz w:val="20"/>
        </w:rPr>
        <w:t>Tiết 15: 19g40-20g30</w:t>
      </w:r>
    </w:p>
    <w:p>
      <w:pPr>
        <w:spacing w:after="80" w:line="276" w:lineRule="auto"/>
      </w:pPr>
      <w:r>
        <w:rPr>
          <w:rFonts w:ascii="Arial" w:hAnsi="Arial"/>
          <w:i w:val="0"/>
          <w:sz w:val="20"/>
        </w:rPr>
        <w:t>Tiết 4: 9g20-10g10</w:t>
      </w:r>
    </w:p>
    <w:p>
      <w:pPr>
        <w:spacing w:after="80" w:line="276" w:lineRule="auto"/>
      </w:pPr>
      <w:r>
        <w:rPr>
          <w:rFonts w:ascii="Arial" w:hAnsi="Arial"/>
          <w:i w:val="0"/>
          <w:sz w:val="20"/>
        </w:rPr>
        <w:t>Tiết 10: 15g10-16g00</w:t>
      </w:r>
    </w:p>
    <w:p>
      <w:pPr>
        <w:spacing w:after="80" w:line="276" w:lineRule="auto"/>
      </w:pPr>
      <w:r>
        <w:rPr>
          <w:rFonts w:ascii="Arial" w:hAnsi="Arial"/>
          <w:i w:val="0"/>
          <w:sz w:val="20"/>
        </w:rPr>
        <w:t>Tiết 5: 10g20-11g10</w:t>
      </w:r>
    </w:p>
    <w:p>
      <w:pPr>
        <w:spacing w:after="80" w:line="276" w:lineRule="auto"/>
      </w:pPr>
      <w:r>
        <w:rPr>
          <w:rFonts w:ascii="Arial" w:hAnsi="Arial"/>
          <w:i w:val="0"/>
          <w:sz w:val="20"/>
        </w:rPr>
        <w:t>Tiết 11: 16g10-17g00</w:t>
      </w:r>
    </w:p>
    <w:p>
      <w:pPr>
        <w:spacing w:after="80" w:line="276" w:lineRule="auto"/>
      </w:pPr>
      <w:r>
        <w:rPr>
          <w:rFonts w:ascii="Arial" w:hAnsi="Arial"/>
          <w:i w:val="0"/>
          <w:sz w:val="20"/>
        </w:rPr>
        <w:t>Tiết 6: 11g10-12g00</w:t>
      </w:r>
    </w:p>
    <w:p>
      <w:pPr>
        <w:spacing w:after="80" w:line="276" w:lineRule="auto"/>
      </w:pPr>
      <w:r>
        <w:rPr>
          <w:rFonts w:ascii="Arial" w:hAnsi="Arial"/>
          <w:i w:val="0"/>
          <w:sz w:val="20"/>
        </w:rPr>
        <w:t>Tiết 12: 17g00-17g50</w:t>
      </w:r>
    </w:p>
    <w:p>
      <w:pPr>
        <w:spacing w:after="80" w:line="276" w:lineRule="auto"/>
      </w:pPr>
      <w:r>
        <w:rPr>
          <w:rFonts w:ascii="Arial" w:hAnsi="Arial"/>
          <w:i w:val="0"/>
          <w:sz w:val="20"/>
        </w:rPr>
        <w:t>b) Giờ của tiết học tại cơ sở Linh Trung:</w:t>
      </w:r>
    </w:p>
    <w:p>
      <w:pPr>
        <w:spacing w:after="80" w:line="276" w:lineRule="auto"/>
      </w:pPr>
      <w:r>
        <w:rPr>
          <w:rFonts w:ascii="Arial" w:hAnsi="Arial"/>
          <w:i w:val="0"/>
          <w:sz w:val="20"/>
        </w:rPr>
        <w:t>Buổi sáng</w:t>
      </w:r>
    </w:p>
    <w:p>
      <w:pPr>
        <w:spacing w:after="80" w:line="276" w:lineRule="auto"/>
      </w:pPr>
      <w:r>
        <w:rPr>
          <w:rFonts w:ascii="Arial" w:hAnsi="Arial"/>
          <w:i w:val="0"/>
          <w:sz w:val="20"/>
        </w:rPr>
        <w:t>Buổi chiều</w:t>
      </w:r>
    </w:p>
    <w:p>
      <w:pPr>
        <w:spacing w:after="80" w:line="276" w:lineRule="auto"/>
      </w:pPr>
      <w:r>
        <w:rPr>
          <w:rFonts w:ascii="Arial" w:hAnsi="Arial"/>
          <w:i w:val="0"/>
          <w:sz w:val="20"/>
        </w:rPr>
        <w:t>Tiết 1: 7g30-8g20</w:t>
      </w:r>
    </w:p>
    <w:p>
      <w:pPr>
        <w:spacing w:after="80" w:line="276" w:lineRule="auto"/>
      </w:pPr>
      <w:r>
        <w:rPr>
          <w:rFonts w:ascii="Arial" w:hAnsi="Arial"/>
          <w:i w:val="0"/>
          <w:sz w:val="20"/>
        </w:rPr>
        <w:t>Tiết 6: 12g30-13g20</w:t>
      </w:r>
    </w:p>
    <w:p>
      <w:pPr>
        <w:spacing w:after="80" w:line="276" w:lineRule="auto"/>
      </w:pPr>
      <w:r>
        <w:rPr>
          <w:rFonts w:ascii="Arial" w:hAnsi="Arial"/>
          <w:i w:val="0"/>
          <w:sz w:val="20"/>
        </w:rPr>
        <w:t>Tiết 2: 8g20-9g10</w:t>
      </w:r>
    </w:p>
    <w:p>
      <w:pPr>
        <w:spacing w:after="80" w:line="276" w:lineRule="auto"/>
      </w:pPr>
      <w:r>
        <w:rPr>
          <w:rFonts w:ascii="Arial" w:hAnsi="Arial"/>
          <w:i w:val="0"/>
          <w:sz w:val="20"/>
        </w:rPr>
        <w:t>Tiết 7: 13g20-14g10</w:t>
      </w:r>
    </w:p>
    <w:p>
      <w:pPr>
        <w:spacing w:after="80" w:line="276" w:lineRule="auto"/>
      </w:pPr>
      <w:r>
        <w:rPr>
          <w:rFonts w:ascii="Arial" w:hAnsi="Arial"/>
          <w:i w:val="0"/>
          <w:sz w:val="20"/>
        </w:rPr>
        <w:t>Tiết 3: 9g20-10g10</w:t>
      </w:r>
    </w:p>
    <w:p>
      <w:pPr>
        <w:spacing w:after="80" w:line="276" w:lineRule="auto"/>
      </w:pPr>
      <w:r>
        <w:rPr>
          <w:rFonts w:ascii="Arial" w:hAnsi="Arial"/>
          <w:i w:val="0"/>
          <w:sz w:val="20"/>
        </w:rPr>
        <w:t>Tiết 8: 14g20-15g10</w:t>
      </w:r>
    </w:p>
    <w:p>
      <w:pPr>
        <w:spacing w:after="80" w:line="276" w:lineRule="auto"/>
      </w:pPr>
      <w:r>
        <w:rPr>
          <w:rFonts w:ascii="Arial" w:hAnsi="Arial"/>
          <w:i w:val="0"/>
          <w:sz w:val="20"/>
        </w:rPr>
        <w:t>Tiết 4: 10g10-11g00</w:t>
      </w:r>
    </w:p>
    <w:p>
      <w:pPr>
        <w:spacing w:after="80" w:line="276" w:lineRule="auto"/>
      </w:pPr>
      <w:r>
        <w:rPr>
          <w:rFonts w:ascii="Arial" w:hAnsi="Arial"/>
          <w:i w:val="0"/>
          <w:sz w:val="20"/>
        </w:rPr>
        <w:t>Tiết 9: 15g10-16g00</w:t>
      </w:r>
    </w:p>
    <w:p>
      <w:pPr>
        <w:spacing w:after="80" w:line="276" w:lineRule="auto"/>
      </w:pPr>
      <w:r>
        <w:rPr>
          <w:rFonts w:ascii="Arial" w:hAnsi="Arial"/>
          <w:i w:val="0"/>
          <w:sz w:val="20"/>
        </w:rPr>
        <w:t>Tiết 5: 11g10-12g00</w:t>
      </w:r>
    </w:p>
    <w:p>
      <w:pPr>
        <w:spacing w:after="80" w:line="276" w:lineRule="auto"/>
      </w:pPr>
      <w:r>
        <w:rPr>
          <w:rFonts w:ascii="Arial" w:hAnsi="Arial"/>
          <w:i w:val="0"/>
          <w:sz w:val="20"/>
        </w:rPr>
        <w:t>Tiết 10: 16g10-17g00</w:t>
      </w:r>
    </w:p>
    <w:p>
      <w:pPr>
        <w:spacing w:after="80" w:line="276" w:lineRule="auto"/>
      </w:pPr>
      <w:r>
        <w:rPr>
          <w:rFonts w:ascii="Arial" w:hAnsi="Arial"/>
          <w:i w:val="0"/>
          <w:sz w:val="20"/>
        </w:rPr>
        <w:t>Điều 7.  Tổ chức đăng ký học tập</w:t>
      </w:r>
    </w:p>
    <w:p>
      <w:pPr>
        <w:keepNext/>
        <w:spacing w:before="160" w:after="60"/>
      </w:pPr>
      <w:r>
        <w:rPr>
          <w:rFonts w:ascii="Arial" w:hAnsi="Arial"/>
          <w:b/>
          <w:color w:val="222222"/>
          <w:sz w:val="21"/>
        </w:rPr>
        <w:t>1. Đăng ký học phần:</w:t>
      </w:r>
    </w:p>
    <w:p>
      <w:pPr>
        <w:spacing w:after="80" w:line="276" w:lineRule="auto"/>
      </w:pPr>
      <w:r>
        <w:rPr>
          <w:rFonts w:ascii="Arial" w:hAnsi="Arial"/>
          <w:i w:val="0"/>
          <w:sz w:val="20"/>
        </w:rPr>
        <w:t>a) Đầu mỗi học kỳ, sinh viên phải theo dõi thông báo để nắm thông tin</w:t>
      </w:r>
    </w:p>
    <w:p>
      <w:pPr>
        <w:spacing w:after="80" w:line="276" w:lineRule="auto"/>
      </w:pPr>
      <w:r>
        <w:rPr>
          <w:rFonts w:ascii="Arial" w:hAnsi="Arial"/>
          <w:i w:val="0"/>
          <w:sz w:val="20"/>
        </w:rPr>
        <w:t>về các học phần sẽ mở trong học kỳ và đăng ký các học phần trên trang thông</w:t>
      </w:r>
    </w:p>
    <w:p>
      <w:pPr>
        <w:spacing w:after="80" w:line="276" w:lineRule="auto"/>
      </w:pPr>
      <w:r>
        <w:rPr>
          <w:rFonts w:ascii="Arial" w:hAnsi="Arial"/>
          <w:i w:val="0"/>
          <w:sz w:val="20"/>
        </w:rPr>
        <w:t>tin điện tử của Phòng Đào tạo hoặc của Khoa.</w:t>
      </w:r>
    </w:p>
    <w:p>
      <w:pPr>
        <w:spacing w:after="80" w:line="276" w:lineRule="auto"/>
      </w:pPr>
      <w:r>
        <w:rPr>
          <w:rFonts w:ascii="Arial" w:hAnsi="Arial"/>
          <w:i w:val="0"/>
          <w:sz w:val="20"/>
        </w:rPr>
        <w:t>b) Tổng số tín chỉ của các học phần trong một học kỳ được tính bao</w:t>
      </w:r>
    </w:p>
    <w:p>
      <w:pPr>
        <w:spacing w:after="80" w:line="276" w:lineRule="auto"/>
      </w:pPr>
      <w:r>
        <w:rPr>
          <w:rFonts w:ascii="Arial" w:hAnsi="Arial"/>
          <w:i w:val="0"/>
          <w:sz w:val="20"/>
        </w:rPr>
        <w:t>gồm: số tín chỉ của học phần đăng ký mới, học phần học lại và học phần cải</w:t>
      </w:r>
    </w:p>
    <w:p>
      <w:pPr>
        <w:spacing w:after="80" w:line="276" w:lineRule="auto"/>
      </w:pPr>
      <w:r>
        <w:rPr>
          <w:rFonts w:ascii="Arial" w:hAnsi="Arial"/>
          <w:i w:val="0"/>
          <w:sz w:val="20"/>
        </w:rPr>
        <w:t>thiện.</w:t>
      </w:r>
    </w:p>
    <w:p>
      <w:pPr>
        <w:spacing w:after="80" w:line="276" w:lineRule="auto"/>
      </w:pPr>
      <w:r>
        <w:rPr>
          <w:rFonts w:ascii="Arial" w:hAnsi="Arial"/>
          <w:i w:val="0"/>
          <w:sz w:val="20"/>
        </w:rPr>
        <w:t>c) Kết quả đăng ký học tập của mỗi sinh viên được thông báo trong tài</w:t>
      </w:r>
    </w:p>
    <w:p>
      <w:pPr>
        <w:spacing w:after="80" w:line="276" w:lineRule="auto"/>
      </w:pPr>
      <w:r>
        <w:rPr>
          <w:rFonts w:ascii="Arial" w:hAnsi="Arial"/>
          <w:i w:val="0"/>
          <w:sz w:val="20"/>
        </w:rPr>
        <w:t>khoản sinh viên và trên trang thông tin điện tử của Trường. Kết quả đăng ký học</w:t>
      </w:r>
    </w:p>
    <w:p>
      <w:pPr>
        <w:spacing w:after="80" w:line="276" w:lineRule="auto"/>
      </w:pPr>
      <w:r>
        <w:rPr>
          <w:rFonts w:ascii="Arial" w:hAnsi="Arial"/>
          <w:i w:val="0"/>
          <w:sz w:val="20"/>
        </w:rPr>
        <w:t>phần ghi rõ tên học phần, mã học phần, mã lớp, số tín chỉ và lịch học của mỗi</w:t>
      </w:r>
    </w:p>
    <w:p>
      <w:pPr>
        <w:spacing w:after="80" w:line="276" w:lineRule="auto"/>
      </w:pPr>
      <w:r>
        <w:rPr>
          <w:rFonts w:ascii="Arial" w:hAnsi="Arial"/>
          <w:i w:val="0"/>
          <w:sz w:val="20"/>
        </w:rPr>
        <w:t>học phần.</w:t>
      </w:r>
    </w:p>
    <w:p>
      <w:pPr>
        <w:spacing w:after="80" w:line="276" w:lineRule="auto"/>
      </w:pPr>
      <w:r>
        <w:rPr>
          <w:rFonts w:ascii="Arial" w:hAnsi="Arial"/>
          <w:i w:val="0"/>
          <w:sz w:val="20"/>
        </w:rPr>
        <w:t>d) Sinh viên không tham gia học các học phần đã đăng ký được xem như</w:t>
      </w:r>
    </w:p>
    <w:p>
      <w:pPr>
        <w:spacing w:after="80" w:line="276" w:lineRule="auto"/>
      </w:pPr>
      <w:r>
        <w:rPr>
          <w:rFonts w:ascii="Arial" w:hAnsi="Arial"/>
          <w:i w:val="0"/>
          <w:sz w:val="20"/>
        </w:rPr>
        <w:t>tự ý bỏ học và phải nhận điểm không (điểm 0).</w:t>
      </w:r>
    </w:p>
    <w:p>
      <w:pPr>
        <w:keepNext/>
        <w:spacing w:before="160" w:after="60"/>
      </w:pPr>
      <w:r>
        <w:rPr>
          <w:rFonts w:ascii="Arial" w:hAnsi="Arial"/>
          <w:b/>
          <w:color w:val="222222"/>
          <w:sz w:val="21"/>
        </w:rPr>
        <w:t>2. Số tín chỉ tối thiểu, tối đa trong học kỳ</w:t>
      </w:r>
    </w:p>
    <w:p>
      <w:pPr>
        <w:spacing w:after="80" w:line="276" w:lineRule="auto"/>
      </w:pPr>
      <w:r>
        <w:rPr>
          <w:rFonts w:ascii="Arial" w:hAnsi="Arial"/>
          <w:i w:val="0"/>
          <w:sz w:val="20"/>
        </w:rPr>
        <w:t>a) Số tín chỉ đăng ký học tối thiểu trong học kỳ:</w:t>
      </w:r>
    </w:p>
    <w:p>
      <w:pPr>
        <w:pStyle w:val="ListBullet"/>
        <w:spacing w:after="60" w:line="276" w:lineRule="auto"/>
      </w:pPr>
      <w:r>
        <w:rPr>
          <w:rFonts w:ascii="Arial" w:hAnsi="Arial"/>
          <w:sz w:val="20"/>
        </w:rPr>
        <w:t>Đối với chương trình Tiên tiến, Liên kết, Chất lượng cao:  tối thiểu là 10</w:t>
      </w:r>
    </w:p>
    <w:p>
      <w:pPr>
        <w:spacing w:after="80" w:line="276" w:lineRule="auto"/>
      </w:pPr>
      <w:r>
        <w:rPr>
          <w:rFonts w:ascii="Arial" w:hAnsi="Arial"/>
          <w:i w:val="0"/>
          <w:sz w:val="20"/>
        </w:rPr>
        <w:t>tín chỉ.</w:t>
      </w:r>
    </w:p>
    <w:p>
      <w:pPr>
        <w:pStyle w:val="ListBullet"/>
        <w:spacing w:after="60" w:line="276" w:lineRule="auto"/>
      </w:pPr>
      <w:r>
        <w:rPr>
          <w:rFonts w:ascii="Arial" w:hAnsi="Arial"/>
          <w:sz w:val="20"/>
        </w:rPr>
        <w:t>Đối với chương trình đại trà: tối thiểu là 14 tín chỉ (không kể Giáo dục</w:t>
      </w:r>
    </w:p>
    <w:p>
      <w:pPr>
        <w:spacing w:after="80" w:line="276" w:lineRule="auto"/>
      </w:pPr>
      <w:r>
        <w:rPr>
          <w:rFonts w:ascii="Arial" w:hAnsi="Arial"/>
          <w:i w:val="0"/>
          <w:sz w:val="20"/>
        </w:rPr>
        <w:t>quốc phòng, Giáo dục thể chất và Ngoại ngữ tổng quát).</w:t>
      </w:r>
    </w:p>
    <w:p>
      <w:pPr>
        <w:spacing w:after="80" w:line="276" w:lineRule="auto"/>
      </w:pPr>
      <w:r>
        <w:rPr>
          <w:rFonts w:ascii="Arial" w:hAnsi="Arial"/>
          <w:i w:val="0"/>
          <w:sz w:val="20"/>
        </w:rPr>
        <w:t>b) Số tín chỉ đăng ký học tối đa trong học kỳ chính:</w:t>
      </w:r>
    </w:p>
    <w:p>
      <w:pPr>
        <w:pStyle w:val="ListBullet"/>
        <w:spacing w:after="60" w:line="276" w:lineRule="auto"/>
      </w:pPr>
      <w:r>
        <w:rPr>
          <w:rFonts w:ascii="Arial" w:hAnsi="Arial"/>
          <w:sz w:val="20"/>
        </w:rPr>
        <w:t>Đối với chương trình Tiên tiến, Liên kết, Chất lượng cao:  tối đa là 22</w:t>
      </w:r>
    </w:p>
    <w:p>
      <w:pPr>
        <w:spacing w:after="80" w:line="276" w:lineRule="auto"/>
      </w:pPr>
      <w:r>
        <w:rPr>
          <w:rFonts w:ascii="Arial" w:hAnsi="Arial"/>
          <w:i w:val="0"/>
          <w:sz w:val="20"/>
        </w:rPr>
        <w:t>tín chỉ.</w:t>
      </w:r>
    </w:p>
    <w:p>
      <w:pPr>
        <w:pStyle w:val="ListBullet"/>
        <w:spacing w:after="60" w:line="276" w:lineRule="auto"/>
      </w:pPr>
      <w:r>
        <w:rPr>
          <w:rFonts w:ascii="Arial" w:hAnsi="Arial"/>
          <w:sz w:val="20"/>
        </w:rPr>
        <w:t>Đối với chương trình đại trà: tối đa là 25 tín chỉ.</w:t>
      </w:r>
    </w:p>
    <w:p>
      <w:pPr>
        <w:pStyle w:val="ListBullet"/>
        <w:spacing w:after="60" w:line="276" w:lineRule="auto"/>
      </w:pPr>
      <w:r>
        <w:rPr>
          <w:rFonts w:ascii="Arial" w:hAnsi="Arial"/>
          <w:sz w:val="20"/>
        </w:rPr>
        <w:t>Số tín chỉ đăng ký học tối đa trong học kỳ hè là 12 tín chỉ</w:t>
      </w:r>
    </w:p>
    <w:p>
      <w:pPr>
        <w:pStyle w:val="ListBullet"/>
        <w:spacing w:after="60" w:line="276" w:lineRule="auto"/>
      </w:pPr>
      <w:r>
        <w:rPr>
          <w:rFonts w:ascii="Arial" w:hAnsi="Arial"/>
          <w:sz w:val="20"/>
        </w:rPr>
        <w:t>Trong trường hợp đặc biệt sinh viên muốn đăng ký vượt quá số tín chỉ</w:t>
      </w:r>
    </w:p>
    <w:p>
      <w:pPr>
        <w:spacing w:after="80" w:line="276" w:lineRule="auto"/>
      </w:pPr>
      <w:r>
        <w:rPr>
          <w:rFonts w:ascii="Arial" w:hAnsi="Arial"/>
          <w:i w:val="0"/>
          <w:sz w:val="20"/>
        </w:rPr>
        <w:t>tối đa hoặc ít hơn số tín chỉ tối thiểu trong một học kỳ thì phải có đơn đề nghị,</w:t>
      </w:r>
    </w:p>
    <w:p>
      <w:pPr>
        <w:spacing w:after="80" w:line="276" w:lineRule="auto"/>
      </w:pPr>
      <w:r>
        <w:rPr>
          <w:rFonts w:ascii="Arial" w:hAnsi="Arial"/>
          <w:i w:val="0"/>
          <w:sz w:val="20"/>
        </w:rPr>
        <w:t>được Khoa đồng ý và Hiệu trưởng chấp thuận.</w:t>
      </w:r>
    </w:p>
    <w:p>
      <w:pPr>
        <w:spacing w:after="80" w:line="276" w:lineRule="auto"/>
      </w:pPr>
      <w:r>
        <w:rPr>
          <w:rFonts w:ascii="Arial" w:hAnsi="Arial"/>
          <w:i w:val="0"/>
          <w:sz w:val="20"/>
        </w:rPr>
        <w:t>c) Đối với sinh viên học cùng lúc hai chương trình, tổng số tín chỉ đăng</w:t>
      </w:r>
    </w:p>
    <w:p>
      <w:pPr>
        <w:spacing w:after="80" w:line="276" w:lineRule="auto"/>
      </w:pPr>
      <w:r>
        <w:rPr>
          <w:rFonts w:ascii="Arial" w:hAnsi="Arial"/>
          <w:i w:val="0"/>
          <w:sz w:val="20"/>
        </w:rPr>
        <w:t>ký tối đa cho mỗi học kỳ chính là 37, mỗi học kỳ hè không vượt quá 15.</w:t>
      </w:r>
    </w:p>
    <w:p>
      <w:pPr>
        <w:keepNext/>
        <w:spacing w:before="160" w:after="60"/>
      </w:pPr>
      <w:r>
        <w:rPr>
          <w:rFonts w:ascii="Arial" w:hAnsi="Arial"/>
          <w:b/>
          <w:color w:val="222222"/>
          <w:sz w:val="21"/>
        </w:rPr>
        <w:t>3. Điều chỉnh đăng ký học phần: theo kế hoạch điều chỉnh đăng ký học</w:t>
      </w:r>
    </w:p>
    <w:p>
      <w:pPr>
        <w:spacing w:after="80" w:line="276" w:lineRule="auto"/>
      </w:pPr>
      <w:r>
        <w:rPr>
          <w:rFonts w:ascii="Arial" w:hAnsi="Arial"/>
          <w:i w:val="0"/>
          <w:sz w:val="20"/>
        </w:rPr>
        <w:t>phần tại mỗi học kỳ.</w:t>
      </w:r>
    </w:p>
    <w:p>
      <w:pPr>
        <w:keepNext/>
        <w:spacing w:before="160" w:after="60"/>
      </w:pPr>
      <w:r>
        <w:rPr>
          <w:rFonts w:ascii="Arial" w:hAnsi="Arial"/>
          <w:b/>
          <w:color w:val="222222"/>
          <w:sz w:val="21"/>
        </w:rPr>
        <w:t>4. Trách nhiệm của sinh viên:</w:t>
      </w:r>
    </w:p>
    <w:p>
      <w:pPr>
        <w:spacing w:after="80" w:line="276" w:lineRule="auto"/>
      </w:pPr>
      <w:r>
        <w:rPr>
          <w:rFonts w:ascii="Arial" w:hAnsi="Arial"/>
          <w:i w:val="0"/>
          <w:sz w:val="20"/>
        </w:rPr>
        <w:t>a) Chủ động theo dõi kết quả đăng ký học phần để xác nhận hoặc điều</w:t>
      </w:r>
    </w:p>
    <w:p>
      <w:pPr>
        <w:spacing w:after="80" w:line="276" w:lineRule="auto"/>
      </w:pPr>
      <w:r>
        <w:rPr>
          <w:rFonts w:ascii="Arial" w:hAnsi="Arial"/>
          <w:i w:val="0"/>
          <w:sz w:val="20"/>
        </w:rPr>
        <w:t>chỉnh nếu có.</w:t>
      </w:r>
    </w:p>
    <w:p>
      <w:pPr>
        <w:spacing w:after="80" w:line="276" w:lineRule="auto"/>
      </w:pPr>
      <w:r>
        <w:rPr>
          <w:rFonts w:ascii="Arial" w:hAnsi="Arial"/>
          <w:i w:val="0"/>
          <w:sz w:val="20"/>
        </w:rPr>
        <w:t>b) Thực hiện đầy đủ các yêu cầu như lên lớp, làm bài tập, thực hành, thí</w:t>
      </w:r>
    </w:p>
    <w:p>
      <w:pPr>
        <w:spacing w:after="80" w:line="276" w:lineRule="auto"/>
      </w:pPr>
      <w:r>
        <w:rPr>
          <w:rFonts w:ascii="Arial" w:hAnsi="Arial"/>
          <w:i w:val="0"/>
          <w:sz w:val="20"/>
        </w:rPr>
        <w:t>nghiệm, tham gia thảo luận, dự kiểm tra thường kỳ và thi kết thúc học phần.</w:t>
      </w:r>
    </w:p>
    <w:p>
      <w:pPr>
        <w:spacing w:after="80" w:line="276" w:lineRule="auto"/>
      </w:pPr>
      <w:r>
        <w:rPr>
          <w:rFonts w:ascii="Arial" w:hAnsi="Arial"/>
          <w:i w:val="0"/>
          <w:sz w:val="20"/>
        </w:rPr>
        <w:t>Điều 8.  Tổ chức giảng dạy và học tập</w:t>
      </w:r>
    </w:p>
    <w:p>
      <w:pPr>
        <w:keepNext/>
        <w:spacing w:before="160" w:after="60"/>
      </w:pPr>
      <w:r>
        <w:rPr>
          <w:rFonts w:ascii="Arial" w:hAnsi="Arial"/>
          <w:b/>
          <w:color w:val="222222"/>
          <w:sz w:val="21"/>
        </w:rPr>
        <w:t>1. Yêu cầu về tổ chức giảng dạy và học tập:</w:t>
      </w:r>
    </w:p>
    <w:p>
      <w:pPr>
        <w:spacing w:after="80" w:line="276" w:lineRule="auto"/>
      </w:pPr>
      <w:r>
        <w:rPr>
          <w:rFonts w:ascii="Arial" w:hAnsi="Arial"/>
          <w:i w:val="0"/>
          <w:sz w:val="20"/>
        </w:rPr>
        <w:t>a) Phát huy năng lực chuyên môn và trách nhiệm nghề nghiệp của đội</w:t>
      </w:r>
    </w:p>
    <w:p>
      <w:pPr>
        <w:spacing w:after="80" w:line="276" w:lineRule="auto"/>
      </w:pPr>
      <w:r>
        <w:rPr>
          <w:rFonts w:ascii="Arial" w:hAnsi="Arial"/>
          <w:i w:val="0"/>
          <w:sz w:val="20"/>
        </w:rPr>
        <w:t>ngũ giảng viên, phù hợp với quy định về chế độ làm việc của giảng viên;</w:t>
      </w:r>
    </w:p>
    <w:p>
      <w:pPr>
        <w:spacing w:after="80" w:line="276" w:lineRule="auto"/>
      </w:pPr>
      <w:r>
        <w:rPr>
          <w:rFonts w:ascii="Arial" w:hAnsi="Arial"/>
          <w:i w:val="0"/>
          <w:sz w:val="20"/>
        </w:rPr>
        <w:t>b) Phát huy vai trò chủ động đồng thời đề cao trách nhiệm của sinh viên,</w:t>
      </w:r>
    </w:p>
    <w:p>
      <w:pPr>
        <w:spacing w:after="80" w:line="276" w:lineRule="auto"/>
      </w:pPr>
      <w:r>
        <w:rPr>
          <w:rFonts w:ascii="Arial" w:hAnsi="Arial"/>
          <w:i w:val="0"/>
          <w:sz w:val="20"/>
        </w:rPr>
        <w:t>tạo điều kiện và động lực để sinh viên nỗ lực học tập; giữ vững kỷ cương học</w:t>
      </w:r>
    </w:p>
    <w:p>
      <w:pPr>
        <w:spacing w:after="80" w:line="276" w:lineRule="auto"/>
      </w:pPr>
      <w:r>
        <w:rPr>
          <w:rFonts w:ascii="Arial" w:hAnsi="Arial"/>
          <w:i w:val="0"/>
          <w:sz w:val="20"/>
        </w:rPr>
        <w:t>đường, nâng cao chất lượng và hiệu quả đào tạo;</w:t>
      </w:r>
    </w:p>
    <w:p>
      <w:pPr>
        <w:spacing w:after="80" w:line="276" w:lineRule="auto"/>
      </w:pPr>
      <w:r>
        <w:rPr>
          <w:rFonts w:ascii="Arial" w:hAnsi="Arial"/>
          <w:i w:val="0"/>
          <w:sz w:val="20"/>
        </w:rPr>
        <w:t>c) Có cơ chế thanh tra, giám sát nội bộ và có hệ thống cải tiến chất lượng</w:t>
      </w:r>
    </w:p>
    <w:p>
      <w:pPr>
        <w:spacing w:after="80" w:line="276" w:lineRule="auto"/>
      </w:pPr>
      <w:r>
        <w:rPr>
          <w:rFonts w:ascii="Arial" w:hAnsi="Arial"/>
          <w:i w:val="0"/>
          <w:sz w:val="20"/>
        </w:rPr>
        <w:t>dựa trên thu thập, đánh giá ý kiến phản hồi của người học.</w:t>
      </w:r>
    </w:p>
    <w:p>
      <w:pPr>
        <w:keepNext/>
        <w:spacing w:before="160" w:after="60"/>
      </w:pPr>
      <w:r>
        <w:rPr>
          <w:rFonts w:ascii="Arial" w:hAnsi="Arial"/>
          <w:b/>
          <w:color w:val="222222"/>
          <w:sz w:val="21"/>
        </w:rPr>
        <w:t>2. Dạy và học trực tuyến:</w:t>
      </w:r>
    </w:p>
    <w:p>
      <w:pPr>
        <w:spacing w:after="80" w:line="276" w:lineRule="auto"/>
      </w:pPr>
      <w:r>
        <w:rPr>
          <w:rFonts w:ascii="Arial" w:hAnsi="Arial"/>
          <w:i w:val="0"/>
          <w:sz w:val="20"/>
        </w:rPr>
        <w:t>a) Hiệu trưởng quyết định tổ chức các lớp học theo phương thức trực</w:t>
      </w:r>
    </w:p>
    <w:p>
      <w:pPr>
        <w:spacing w:after="80" w:line="276" w:lineRule="auto"/>
      </w:pPr>
      <w:r>
        <w:rPr>
          <w:rFonts w:ascii="Arial" w:hAnsi="Arial"/>
          <w:i w:val="0"/>
          <w:sz w:val="20"/>
        </w:rPr>
        <w:t>tuyến khi đáp ứng các điều kiện theo quy định hiện hành.</w:t>
      </w:r>
    </w:p>
    <w:p>
      <w:pPr>
        <w:spacing w:after="80" w:line="276" w:lineRule="auto"/>
      </w:pPr>
      <w:r>
        <w:rPr>
          <w:rFonts w:ascii="Arial" w:hAnsi="Arial"/>
          <w:i w:val="0"/>
          <w:sz w:val="20"/>
        </w:rPr>
        <w:t>b) Đối với đào tạo theo hình thức chính quy, tối đa 30% tổng khối lượng</w:t>
      </w:r>
    </w:p>
    <w:p>
      <w:pPr>
        <w:spacing w:after="80" w:line="276" w:lineRule="auto"/>
      </w:pPr>
      <w:r>
        <w:rPr>
          <w:rFonts w:ascii="Arial" w:hAnsi="Arial"/>
          <w:i w:val="0"/>
          <w:sz w:val="20"/>
        </w:rPr>
        <w:t>của chương trình đào tạo được thực hiện bằng lớp học trực tuyến. Trong trường</w:t>
      </w:r>
    </w:p>
    <w:p>
      <w:pPr>
        <w:spacing w:after="80" w:line="276" w:lineRule="auto"/>
      </w:pPr>
      <w:r>
        <w:rPr>
          <w:rFonts w:ascii="Arial" w:hAnsi="Arial"/>
          <w:i w:val="0"/>
          <w:sz w:val="20"/>
        </w:rPr>
        <w:t>hợp thiên tai, dịch bệnh phức tạp và các trường hợp bất khả kháng khác, cơ sở</w:t>
      </w:r>
    </w:p>
    <w:p>
      <w:pPr>
        <w:spacing w:after="80" w:line="276" w:lineRule="auto"/>
      </w:pPr>
      <w:r>
        <w:rPr>
          <w:rFonts w:ascii="Arial" w:hAnsi="Arial"/>
          <w:i w:val="0"/>
          <w:sz w:val="20"/>
        </w:rPr>
        <w:t>đào tạo thực hiện theo hướng dẫn của Bộ Giáo dục và Đào tạo và ĐHQG-HCM.</w:t>
      </w:r>
    </w:p>
    <w:p>
      <w:pPr>
        <w:keepNext/>
        <w:spacing w:before="160" w:after="60"/>
      </w:pPr>
      <w:r>
        <w:rPr>
          <w:rFonts w:ascii="Arial" w:hAnsi="Arial"/>
          <w:b/>
          <w:color w:val="222222"/>
          <w:sz w:val="21"/>
        </w:rPr>
        <w:t>3. Tổ chức lớp học</w:t>
      </w:r>
    </w:p>
    <w:p>
      <w:pPr>
        <w:spacing w:after="80" w:line="276" w:lineRule="auto"/>
      </w:pPr>
      <w:r>
        <w:rPr>
          <w:rFonts w:ascii="Arial" w:hAnsi="Arial"/>
          <w:i w:val="0"/>
          <w:sz w:val="20"/>
        </w:rPr>
        <w:t>a) Lớp học phần: là lớp học bao gồm những sinh viên theo học cùng một</w:t>
      </w:r>
    </w:p>
    <w:p>
      <w:pPr>
        <w:spacing w:after="80" w:line="276" w:lineRule="auto"/>
      </w:pPr>
      <w:r>
        <w:rPr>
          <w:rFonts w:ascii="Arial" w:hAnsi="Arial"/>
          <w:i w:val="0"/>
          <w:sz w:val="20"/>
        </w:rPr>
        <w:t>học phần trong cùng một khoảng thời gian và cùng một giảng viên tạo thành</w:t>
      </w:r>
    </w:p>
    <w:p>
      <w:pPr>
        <w:spacing w:after="80" w:line="276" w:lineRule="auto"/>
      </w:pPr>
      <w:r>
        <w:rPr>
          <w:rFonts w:ascii="Arial" w:hAnsi="Arial"/>
          <w:i w:val="0"/>
          <w:sz w:val="20"/>
        </w:rPr>
        <w:t>một lớp học phần. Mỗi lớp học phần được ký hiệu bằng một mã số riêng do</w:t>
      </w:r>
    </w:p>
    <w:p>
      <w:pPr>
        <w:spacing w:after="80" w:line="276" w:lineRule="auto"/>
      </w:pPr>
      <w:r>
        <w:rPr>
          <w:rFonts w:ascii="Arial" w:hAnsi="Arial"/>
          <w:i w:val="0"/>
          <w:sz w:val="20"/>
        </w:rPr>
        <w:t>trường quy định. Hiệu trưởng quy định số lượng tối thiểu, tối đa cho mỗi lớp học</w:t>
      </w:r>
    </w:p>
    <w:p>
      <w:pPr>
        <w:spacing w:after="80" w:line="276" w:lineRule="auto"/>
      </w:pPr>
      <w:r>
        <w:rPr>
          <w:rFonts w:ascii="Arial" w:hAnsi="Arial"/>
          <w:i w:val="0"/>
          <w:sz w:val="20"/>
        </w:rPr>
        <w:t>phần tùy theo từng loại học phần. Nếu số lượng sinh viên đăng ký thấp hơn số</w:t>
      </w:r>
    </w:p>
    <w:p>
      <w:pPr>
        <w:spacing w:after="80" w:line="276" w:lineRule="auto"/>
      </w:pPr>
      <w:r>
        <w:rPr>
          <w:rFonts w:ascii="Arial" w:hAnsi="Arial"/>
          <w:i w:val="0"/>
          <w:sz w:val="20"/>
        </w:rPr>
        <w:t>lượng tối thiểu thì lớp học sẽ không được tổ chức.</w:t>
      </w:r>
    </w:p>
    <w:p>
      <w:pPr>
        <w:spacing w:after="80" w:line="276" w:lineRule="auto"/>
      </w:pPr>
      <w:r>
        <w:rPr>
          <w:rFonts w:ascii="Arial" w:hAnsi="Arial"/>
          <w:i w:val="0"/>
          <w:sz w:val="20"/>
        </w:rPr>
        <w:t>b) Lớp sinh hoạt: bao gồm những sinh viên cùng khóa tuyển, cùng ngành</w:t>
      </w:r>
    </w:p>
    <w:p>
      <w:pPr>
        <w:spacing w:after="80" w:line="276" w:lineRule="auto"/>
      </w:pPr>
      <w:r>
        <w:rPr>
          <w:rFonts w:ascii="Arial" w:hAnsi="Arial"/>
          <w:i w:val="0"/>
          <w:sz w:val="20"/>
        </w:rPr>
        <w:t>và cùng chương trình đào tạo được tổ chức thành một lớp sinh hoạt, số lượng</w:t>
      </w:r>
    </w:p>
    <w:p>
      <w:pPr>
        <w:spacing w:after="80" w:line="276" w:lineRule="auto"/>
      </w:pPr>
      <w:r>
        <w:rPr>
          <w:rFonts w:ascii="Arial" w:hAnsi="Arial"/>
          <w:i w:val="0"/>
          <w:sz w:val="20"/>
        </w:rPr>
        <w:t>sinh viên của mỗi lớp sinh hoạt theo quy định về quản lý sinh viên.</w:t>
      </w:r>
    </w:p>
    <w:p>
      <w:pPr>
        <w:keepNext/>
        <w:spacing w:before="160" w:after="60"/>
      </w:pPr>
      <w:r>
        <w:rPr>
          <w:rFonts w:ascii="Arial" w:hAnsi="Arial"/>
          <w:b/>
          <w:color w:val="222222"/>
          <w:sz w:val="21"/>
        </w:rPr>
        <w:t>3. Các quy định về tổ chức đào tạo</w:t>
      </w:r>
    </w:p>
    <w:p>
      <w:pPr>
        <w:spacing w:after="80" w:line="276" w:lineRule="auto"/>
      </w:pPr>
      <w:r>
        <w:rPr>
          <w:rFonts w:ascii="Arial" w:hAnsi="Arial"/>
          <w:i w:val="0"/>
          <w:sz w:val="20"/>
        </w:rPr>
        <w:t>a) Hiệu trưởng ban hành quy định về triển khai công tác đào tạo bậc đại</w:t>
      </w:r>
    </w:p>
    <w:p>
      <w:pPr>
        <w:spacing w:after="80" w:line="276" w:lineRule="auto"/>
      </w:pPr>
      <w:r>
        <w:rPr>
          <w:rFonts w:ascii="Arial" w:hAnsi="Arial"/>
          <w:i w:val="0"/>
          <w:sz w:val="20"/>
        </w:rPr>
        <w:t>học hệ chính quy các chương trình.</w:t>
      </w:r>
    </w:p>
    <w:p>
      <w:pPr>
        <w:spacing w:after="80" w:line="276" w:lineRule="auto"/>
      </w:pPr>
      <w:r>
        <w:rPr>
          <w:rFonts w:ascii="Arial" w:hAnsi="Arial"/>
          <w:i w:val="0"/>
          <w:sz w:val="20"/>
        </w:rPr>
        <w:t>b) Hiệu trưởng ban hành quy định về việc lấy ý kiến phản hồi của người</w:t>
      </w:r>
    </w:p>
    <w:p>
      <w:pPr>
        <w:spacing w:after="80" w:line="276" w:lineRule="auto"/>
      </w:pPr>
      <w:r>
        <w:rPr>
          <w:rFonts w:ascii="Arial" w:hAnsi="Arial"/>
          <w:i w:val="0"/>
          <w:sz w:val="20"/>
        </w:rPr>
        <w:t>học về các điều kiện bảo đảm chất lượng, hiệu quả học tập đối với tất cả các</w:t>
      </w:r>
    </w:p>
    <w:p>
      <w:pPr>
        <w:spacing w:after="80" w:line="276" w:lineRule="auto"/>
      </w:pPr>
      <w:r>
        <w:rPr>
          <w:rFonts w:ascii="Arial" w:hAnsi="Arial"/>
          <w:i w:val="0"/>
          <w:sz w:val="20"/>
        </w:rPr>
        <w:t>lớp học của cơ sở đào tạo và việc công khai ý kiến phản hồi của người học, bao</w:t>
      </w:r>
    </w:p>
    <w:p>
      <w:pPr>
        <w:spacing w:after="80" w:line="276" w:lineRule="auto"/>
      </w:pPr>
      <w:r>
        <w:rPr>
          <w:rFonts w:ascii="Arial" w:hAnsi="Arial"/>
          <w:i w:val="0"/>
          <w:sz w:val="20"/>
        </w:rPr>
        <w:t>gồm nội dung, mức độ, hình thức công khai.</w:t>
      </w:r>
    </w:p>
    <w:p>
      <w:pPr>
        <w:spacing w:after="80" w:line="276" w:lineRule="auto"/>
      </w:pPr>
      <w:r>
        <w:rPr>
          <w:rFonts w:ascii="Arial" w:hAnsi="Arial"/>
          <w:i w:val="0"/>
          <w:sz w:val="20"/>
        </w:rPr>
        <w:t>Chương III</w:t>
      </w:r>
    </w:p>
    <w:p>
      <w:pPr>
        <w:spacing w:after="80" w:line="276" w:lineRule="auto"/>
      </w:pPr>
      <w:r>
        <w:rPr>
          <w:rFonts w:ascii="Arial" w:hAnsi="Arial"/>
          <w:i w:val="0"/>
          <w:sz w:val="20"/>
        </w:rPr>
        <w:t>ĐÁNH GIÁ KẾT QUẢ HỌC TẬP VÀ CẤP BẰNG TỐT NGHIỆP</w:t>
      </w:r>
    </w:p>
    <w:p>
      <w:pPr>
        <w:spacing w:after="80" w:line="276" w:lineRule="auto"/>
      </w:pPr>
      <w:r>
        <w:rPr>
          <w:rFonts w:ascii="Arial" w:hAnsi="Arial"/>
          <w:i w:val="0"/>
          <w:sz w:val="20"/>
        </w:rPr>
        <w:t>Điều 9.  Đánh giá học phần</w:t>
      </w:r>
    </w:p>
    <w:p>
      <w:pPr>
        <w:keepNext/>
        <w:spacing w:before="160" w:after="60"/>
      </w:pPr>
      <w:r>
        <w:rPr>
          <w:rFonts w:ascii="Arial" w:hAnsi="Arial"/>
          <w:b/>
          <w:color w:val="222222"/>
          <w:sz w:val="21"/>
        </w:rPr>
        <w:t>1. Đối với mỗi học phần (ngoại trừ khóa luận tốt nghiệp/thực tập tốt</w:t>
      </w:r>
    </w:p>
    <w:p>
      <w:pPr>
        <w:spacing w:after="80" w:line="276" w:lineRule="auto"/>
      </w:pPr>
      <w:r>
        <w:rPr>
          <w:rFonts w:ascii="Arial" w:hAnsi="Arial"/>
          <w:i w:val="0"/>
          <w:sz w:val="20"/>
        </w:rPr>
        <w:t>nghiệp/đồ án tốt nghiệp/tốt nghiệp/dự án tốt nghiệp), sinh viên được đánh giá</w:t>
      </w:r>
    </w:p>
    <w:p>
      <w:pPr>
        <w:spacing w:after="80" w:line="276" w:lineRule="auto"/>
      </w:pPr>
      <w:r>
        <w:rPr>
          <w:rFonts w:ascii="Arial" w:hAnsi="Arial"/>
          <w:i w:val="0"/>
          <w:sz w:val="20"/>
        </w:rPr>
        <w:t>tối thiểu bằng tổng của hai điểm thành phần bao gồm: điểm quá trình và điểm</w:t>
      </w:r>
    </w:p>
    <w:p>
      <w:pPr>
        <w:spacing w:after="80" w:line="276" w:lineRule="auto"/>
      </w:pPr>
      <w:r>
        <w:rPr>
          <w:rFonts w:ascii="Arial" w:hAnsi="Arial"/>
          <w:i w:val="0"/>
          <w:sz w:val="20"/>
        </w:rPr>
        <w:t>thi kết thúc học phần (điểm thi cuối học kỳ). Các điểm thành phần được đánh</w:t>
      </w:r>
    </w:p>
    <w:p>
      <w:pPr>
        <w:spacing w:after="80" w:line="276" w:lineRule="auto"/>
      </w:pPr>
      <w:r>
        <w:rPr>
          <w:rFonts w:ascii="Arial" w:hAnsi="Arial"/>
          <w:i w:val="0"/>
          <w:sz w:val="20"/>
        </w:rPr>
        <w:t>giá theo thang điểm 10. Phương pháp đánh giá, hình thức đánh giá và trọng số</w:t>
      </w:r>
    </w:p>
    <w:p>
      <w:pPr>
        <w:spacing w:after="80" w:line="276" w:lineRule="auto"/>
      </w:pPr>
      <w:r>
        <w:rPr>
          <w:rFonts w:ascii="Arial" w:hAnsi="Arial"/>
          <w:i w:val="0"/>
          <w:sz w:val="20"/>
        </w:rPr>
        <w:t>của mỗi điểm thành phần được quy định trong đề cương chi tiết của mỗi học</w:t>
      </w:r>
    </w:p>
    <w:p>
      <w:pPr>
        <w:spacing w:after="80" w:line="276" w:lineRule="auto"/>
      </w:pPr>
      <w:r>
        <w:rPr>
          <w:rFonts w:ascii="Arial" w:hAnsi="Arial"/>
          <w:i w:val="0"/>
          <w:sz w:val="20"/>
        </w:rPr>
        <w:t>phần, được Khoa thông qua và được Hiệu trưởng phê duyệt. Điểm quá trình và</w:t>
      </w:r>
    </w:p>
    <w:p>
      <w:pPr>
        <w:spacing w:after="80" w:line="276" w:lineRule="auto"/>
      </w:pPr>
      <w:r>
        <w:rPr>
          <w:rFonts w:ascii="Arial" w:hAnsi="Arial"/>
          <w:i w:val="0"/>
          <w:sz w:val="20"/>
        </w:rPr>
        <w:t>điểm thi kết thúc học phần được quy định như sau:</w:t>
      </w:r>
    </w:p>
    <w:p>
      <w:pPr>
        <w:spacing w:after="80" w:line="276" w:lineRule="auto"/>
      </w:pPr>
      <w:r>
        <w:rPr>
          <w:rFonts w:ascii="Arial" w:hAnsi="Arial"/>
          <w:i w:val="0"/>
          <w:sz w:val="20"/>
        </w:rPr>
        <w:t>a) Điểm quá trình chiếm tỉ trọng từ 50% đến 60% bao gồm tối thiểu ba</w:t>
      </w:r>
    </w:p>
    <w:p>
      <w:pPr>
        <w:spacing w:after="80" w:line="276" w:lineRule="auto"/>
      </w:pPr>
      <w:r>
        <w:rPr>
          <w:rFonts w:ascii="Arial" w:hAnsi="Arial"/>
          <w:i w:val="0"/>
          <w:sz w:val="20"/>
        </w:rPr>
        <w:t>trong số các hình thức sau đây: điểm kiểm tra thường xuyên trong quá trình học</w:t>
      </w:r>
    </w:p>
    <w:p>
      <w:pPr>
        <w:spacing w:after="80" w:line="276" w:lineRule="auto"/>
      </w:pPr>
      <w:r>
        <w:rPr>
          <w:rFonts w:ascii="Arial" w:hAnsi="Arial"/>
          <w:i w:val="0"/>
          <w:sz w:val="20"/>
        </w:rPr>
        <w:t>tập; điểm đánh giá tham gia thảo luận; điểm tổng hợp đánh giá các bài thực</w:t>
      </w:r>
    </w:p>
    <w:p>
      <w:pPr>
        <w:spacing w:after="80" w:line="276" w:lineRule="auto"/>
      </w:pPr>
      <w:r>
        <w:rPr>
          <w:rFonts w:ascii="Arial" w:hAnsi="Arial"/>
          <w:i w:val="0"/>
          <w:sz w:val="20"/>
        </w:rPr>
        <w:t>hành/thực tập; điểm bài tập lớn; điểm chuyên cần; điểm kiểm tra giữa học kỳ;</w:t>
      </w:r>
    </w:p>
    <w:p>
      <w:pPr>
        <w:spacing w:after="80" w:line="276" w:lineRule="auto"/>
      </w:pPr>
      <w:r>
        <w:rPr>
          <w:rFonts w:ascii="Arial" w:hAnsi="Arial"/>
          <w:i w:val="0"/>
          <w:sz w:val="20"/>
        </w:rPr>
        <w:t>điểm báo cáo seminar.</w:t>
      </w:r>
    </w:p>
    <w:p>
      <w:pPr>
        <w:spacing w:after="80" w:line="276" w:lineRule="auto"/>
      </w:pPr>
      <w:r>
        <w:rPr>
          <w:rFonts w:ascii="Arial" w:hAnsi="Arial"/>
          <w:i w:val="0"/>
          <w:sz w:val="20"/>
        </w:rPr>
        <w:t>b) Điểm thi kết thúc học phần (điểm thi cuối học kỳ) chiếm tỷ trọng còn</w:t>
      </w:r>
    </w:p>
    <w:p>
      <w:pPr>
        <w:spacing w:after="80" w:line="276" w:lineRule="auto"/>
      </w:pPr>
      <w:r>
        <w:rPr>
          <w:rFonts w:ascii="Arial" w:hAnsi="Arial"/>
          <w:i w:val="0"/>
          <w:sz w:val="20"/>
        </w:rPr>
        <w:t>lại (không dưới 40%). Hình thức thi kết thúc học phần có thể là: thi viết (trắc</w:t>
      </w:r>
    </w:p>
    <w:p>
      <w:pPr>
        <w:spacing w:after="80" w:line="276" w:lineRule="auto"/>
      </w:pPr>
      <w:r>
        <w:rPr>
          <w:rFonts w:ascii="Arial" w:hAnsi="Arial"/>
          <w:i w:val="0"/>
          <w:sz w:val="20"/>
        </w:rPr>
        <w:t>nghiệm hoặc tự luận); thi vấn đáp; báo cáo chuyên đề/tiểu luận/đồ án; được tổ</w:t>
      </w:r>
    </w:p>
    <w:p>
      <w:pPr>
        <w:spacing w:after="80" w:line="276" w:lineRule="auto"/>
      </w:pPr>
      <w:r>
        <w:rPr>
          <w:rFonts w:ascii="Arial" w:hAnsi="Arial"/>
          <w:i w:val="0"/>
          <w:sz w:val="20"/>
        </w:rPr>
        <w:t>chức trực tiếp tại Trường theo quy định. Trong trường hợp bất khả kháng do</w:t>
      </w:r>
    </w:p>
    <w:p>
      <w:pPr>
        <w:spacing w:after="80" w:line="276" w:lineRule="auto"/>
      </w:pPr>
      <w:r>
        <w:rPr>
          <w:rFonts w:ascii="Arial" w:hAnsi="Arial"/>
          <w:i w:val="0"/>
          <w:sz w:val="20"/>
        </w:rPr>
        <w:t>thiên tai hoặc dịch bệnh, đánh giá cuối học kỳ theo hình thức thi viết có thể</w:t>
      </w:r>
    </w:p>
    <w:p>
      <w:pPr>
        <w:spacing w:after="80" w:line="276" w:lineRule="auto"/>
      </w:pPr>
      <w:r>
        <w:rPr>
          <w:rFonts w:ascii="Arial" w:hAnsi="Arial"/>
          <w:i w:val="0"/>
          <w:sz w:val="20"/>
        </w:rPr>
        <w:t>được tổ chức bằng phương thức trực tuyến; Hiệu trưởng quyết định lựa chọn</w:t>
      </w:r>
    </w:p>
    <w:p>
      <w:pPr>
        <w:spacing w:after="80" w:line="276" w:lineRule="auto"/>
      </w:pPr>
      <w:r>
        <w:rPr>
          <w:rFonts w:ascii="Arial" w:hAnsi="Arial"/>
          <w:i w:val="0"/>
          <w:sz w:val="20"/>
        </w:rPr>
        <w:t>đánh giá cuối học kỳ bằng phương thức trực tuyến thay cho phương thức trực</w:t>
      </w:r>
    </w:p>
    <w:p>
      <w:pPr>
        <w:spacing w:after="80" w:line="276" w:lineRule="auto"/>
      </w:pPr>
      <w:r>
        <w:rPr>
          <w:rFonts w:ascii="Arial" w:hAnsi="Arial"/>
          <w:i w:val="0"/>
          <w:sz w:val="20"/>
        </w:rPr>
        <w:t>tiếp theo quy định, bảo đảm trung thực, công bằng và khách quan như khi đánh</w:t>
      </w:r>
    </w:p>
    <w:p>
      <w:pPr>
        <w:spacing w:after="80" w:line="276" w:lineRule="auto"/>
      </w:pPr>
      <w:r>
        <w:rPr>
          <w:rFonts w:ascii="Arial" w:hAnsi="Arial"/>
          <w:i w:val="0"/>
          <w:sz w:val="20"/>
        </w:rPr>
        <w:t>giá trực tiếp.</w:t>
      </w:r>
    </w:p>
    <w:p>
      <w:pPr>
        <w:keepNext/>
        <w:spacing w:before="160" w:after="60"/>
      </w:pPr>
      <w:r>
        <w:rPr>
          <w:rFonts w:ascii="Arial" w:hAnsi="Arial"/>
          <w:b/>
          <w:color w:val="222222"/>
          <w:sz w:val="21"/>
        </w:rPr>
        <w:t>2. Đối với loại học phần thực hành: sinh viên phải tham dự đầy đủ các</w:t>
      </w:r>
    </w:p>
    <w:p>
      <w:pPr>
        <w:spacing w:after="80" w:line="276" w:lineRule="auto"/>
      </w:pPr>
      <w:r>
        <w:rPr>
          <w:rFonts w:ascii="Arial" w:hAnsi="Arial"/>
          <w:i w:val="0"/>
          <w:sz w:val="20"/>
        </w:rPr>
        <w:t>bài thực hành. Điểm tổng hợp đánh giá học phần là các điểm thành phần bao</w:t>
      </w:r>
    </w:p>
    <w:p>
      <w:pPr>
        <w:spacing w:after="80" w:line="276" w:lineRule="auto"/>
      </w:pPr>
      <w:r>
        <w:rPr>
          <w:rFonts w:ascii="Arial" w:hAnsi="Arial"/>
          <w:i w:val="0"/>
          <w:sz w:val="20"/>
        </w:rPr>
        <w:t>gồm: điểm các bài thực hành trong học kỳ, điểm chuyên cần, điểm bài thi thực</w:t>
      </w:r>
    </w:p>
    <w:p>
      <w:pPr>
        <w:spacing w:after="80" w:line="276" w:lineRule="auto"/>
      </w:pPr>
      <w:r>
        <w:rPr>
          <w:rFonts w:ascii="Arial" w:hAnsi="Arial"/>
          <w:i w:val="0"/>
          <w:sz w:val="20"/>
        </w:rPr>
        <w:t>hành cuối kỳ.</w:t>
      </w:r>
    </w:p>
    <w:p>
      <w:pPr>
        <w:keepNext/>
        <w:spacing w:before="160" w:after="60"/>
      </w:pPr>
      <w:r>
        <w:rPr>
          <w:rFonts w:ascii="Arial" w:hAnsi="Arial"/>
          <w:b/>
          <w:color w:val="222222"/>
          <w:sz w:val="21"/>
        </w:rPr>
        <w:t>3. Việc tổ chức thi, kiểm tra, thời gian thi, việc làm đề thi, coi thi, chấm</w:t>
      </w:r>
    </w:p>
    <w:p>
      <w:pPr>
        <w:spacing w:after="80" w:line="276" w:lineRule="auto"/>
      </w:pPr>
      <w:r>
        <w:rPr>
          <w:rFonts w:ascii="Arial" w:hAnsi="Arial"/>
          <w:i w:val="0"/>
          <w:sz w:val="20"/>
        </w:rPr>
        <w:t>thi, phúc tra, bảo quản bài thi sẽ được công bố tại quy định về công tác khảo</w:t>
      </w:r>
    </w:p>
    <w:p>
      <w:pPr>
        <w:spacing w:after="80" w:line="276" w:lineRule="auto"/>
      </w:pPr>
      <w:r>
        <w:rPr>
          <w:rFonts w:ascii="Arial" w:hAnsi="Arial"/>
          <w:i w:val="0"/>
          <w:sz w:val="20"/>
        </w:rPr>
        <w:t>thí của Trường.</w:t>
      </w:r>
    </w:p>
    <w:p>
      <w:pPr>
        <w:spacing w:after="80" w:line="276" w:lineRule="auto"/>
      </w:pPr>
      <w:r>
        <w:rPr>
          <w:rFonts w:ascii="Arial" w:hAnsi="Arial"/>
          <w:i w:val="0"/>
          <w:sz w:val="20"/>
        </w:rPr>
        <w:t>Điều 10.  Đánh giá đồ án tốt nghiệp, khóa luận tốt nghiệp/thực tập tốt</w:t>
      </w:r>
    </w:p>
    <w:p>
      <w:pPr>
        <w:spacing w:after="80" w:line="276" w:lineRule="auto"/>
      </w:pPr>
      <w:r>
        <w:rPr>
          <w:rFonts w:ascii="Arial" w:hAnsi="Arial"/>
          <w:i w:val="0"/>
          <w:sz w:val="20"/>
        </w:rPr>
        <w:t>nghiệp/dự án tốt nghiệp</w:t>
      </w:r>
    </w:p>
    <w:p>
      <w:pPr>
        <w:keepNext/>
        <w:spacing w:before="160" w:after="60"/>
      </w:pPr>
      <w:r>
        <w:rPr>
          <w:rFonts w:ascii="Arial" w:hAnsi="Arial"/>
          <w:b/>
          <w:color w:val="222222"/>
          <w:sz w:val="21"/>
        </w:rPr>
        <w:t>1. Xét làm khóa luận tốt nghiệp, đồ án tốt nghiệp</w:t>
      </w:r>
    </w:p>
    <w:p>
      <w:pPr>
        <w:spacing w:after="80" w:line="276" w:lineRule="auto"/>
      </w:pPr>
      <w:r>
        <w:rPr>
          <w:rFonts w:ascii="Arial" w:hAnsi="Arial"/>
          <w:i w:val="0"/>
          <w:sz w:val="20"/>
        </w:rPr>
        <w:t>Vào đầu học kỳ cuối khoá học, căn cứ vào nguyện vọng của sinh viên và</w:t>
      </w:r>
    </w:p>
    <w:p>
      <w:pPr>
        <w:spacing w:after="80" w:line="276" w:lineRule="auto"/>
      </w:pPr>
      <w:r>
        <w:rPr>
          <w:rFonts w:ascii="Arial" w:hAnsi="Arial"/>
          <w:i w:val="0"/>
          <w:sz w:val="20"/>
        </w:rPr>
        <w:t>quy định của Khoa phụ trách đào tạo, Hội đồng Khoa xét và lập danh sách sinh</w:t>
      </w:r>
    </w:p>
    <w:p>
      <w:pPr>
        <w:spacing w:after="80" w:line="276" w:lineRule="auto"/>
      </w:pPr>
      <w:r>
        <w:rPr>
          <w:rFonts w:ascii="Arial" w:hAnsi="Arial"/>
          <w:i w:val="0"/>
          <w:sz w:val="20"/>
        </w:rPr>
        <w:t>viên được làm đồ án tốt nghiệp hoặc khóa luận tốt nghiệp/thực tập tốt nghiệp/dự</w:t>
      </w:r>
    </w:p>
    <w:p>
      <w:pPr>
        <w:spacing w:after="80" w:line="276" w:lineRule="auto"/>
      </w:pPr>
      <w:r>
        <w:rPr>
          <w:rFonts w:ascii="Arial" w:hAnsi="Arial"/>
          <w:i w:val="0"/>
          <w:sz w:val="20"/>
        </w:rPr>
        <w:t>án tốt nghiệp (sau đây gọi chung là khóa luận tốt nghiệp) như sau:</w:t>
      </w:r>
    </w:p>
    <w:p>
      <w:pPr>
        <w:spacing w:after="80" w:line="276" w:lineRule="auto"/>
      </w:pPr>
      <w:r>
        <w:rPr>
          <w:rFonts w:ascii="Arial" w:hAnsi="Arial"/>
          <w:i w:val="0"/>
          <w:sz w:val="20"/>
        </w:rPr>
        <w:t>a) Làm khoá luận tốt nghiệp có khối lượng 10 tín chỉ.</w:t>
      </w:r>
    </w:p>
    <w:p>
      <w:pPr>
        <w:spacing w:after="80" w:line="276" w:lineRule="auto"/>
      </w:pPr>
      <w:r>
        <w:rPr>
          <w:rFonts w:ascii="Arial" w:hAnsi="Arial"/>
          <w:i w:val="0"/>
          <w:sz w:val="20"/>
        </w:rPr>
        <w:t>b) Làm đồ án tốt nghiệp và học một số học phần chuyên ngành định</w:t>
      </w:r>
    </w:p>
    <w:p>
      <w:pPr>
        <w:spacing w:after="80" w:line="276" w:lineRule="auto"/>
      </w:pPr>
      <w:r>
        <w:rPr>
          <w:rFonts w:ascii="Arial" w:hAnsi="Arial"/>
          <w:i w:val="0"/>
          <w:sz w:val="20"/>
        </w:rPr>
        <w:t>hướng nghề nghiệp có khối lượng tổng cộng 10 tín chỉ.</w:t>
      </w:r>
    </w:p>
    <w:p>
      <w:pPr>
        <w:spacing w:after="80" w:line="276" w:lineRule="auto"/>
      </w:pPr>
      <w:r>
        <w:rPr>
          <w:rFonts w:ascii="Arial" w:hAnsi="Arial"/>
          <w:i w:val="0"/>
          <w:sz w:val="20"/>
        </w:rPr>
        <w:t>c) Chọn học một số học phần chuyên ngành định hướng nghề nghiệp có</w:t>
      </w:r>
    </w:p>
    <w:p>
      <w:pPr>
        <w:spacing w:after="80" w:line="276" w:lineRule="auto"/>
      </w:pPr>
      <w:r>
        <w:rPr>
          <w:rFonts w:ascii="Arial" w:hAnsi="Arial"/>
          <w:i w:val="0"/>
          <w:sz w:val="20"/>
        </w:rPr>
        <w:t>khối lượng tổng cộng 10 tín chỉ theo quy định của chương trình đào tạo.</w:t>
      </w:r>
    </w:p>
    <w:p>
      <w:pPr>
        <w:spacing w:after="80" w:line="276" w:lineRule="auto"/>
      </w:pPr>
      <w:r>
        <w:rPr>
          <w:rFonts w:ascii="Arial" w:hAnsi="Arial"/>
          <w:i w:val="0"/>
          <w:sz w:val="20"/>
        </w:rPr>
        <w:t>d) Điều kiện làm khóa luận hoặc đồ án tốt nghiệp dựa vào các tiêu chí</w:t>
      </w:r>
    </w:p>
    <w:p>
      <w:pPr>
        <w:spacing w:after="80" w:line="276" w:lineRule="auto"/>
      </w:pPr>
      <w:r>
        <w:rPr>
          <w:rFonts w:ascii="Arial" w:hAnsi="Arial"/>
          <w:i w:val="0"/>
          <w:sz w:val="20"/>
        </w:rPr>
        <w:t>như sau:</w:t>
      </w:r>
    </w:p>
    <w:p>
      <w:pPr>
        <w:pStyle w:val="ListBullet"/>
        <w:spacing w:after="60" w:line="276" w:lineRule="auto"/>
      </w:pPr>
      <w:r>
        <w:rPr>
          <w:rFonts w:ascii="Arial" w:hAnsi="Arial"/>
          <w:sz w:val="20"/>
        </w:rPr>
        <w:t>Điểm trung bình tích lũy của khóa học.</w:t>
      </w:r>
    </w:p>
    <w:p>
      <w:pPr>
        <w:pStyle w:val="ListBullet"/>
        <w:spacing w:after="60" w:line="276" w:lineRule="auto"/>
      </w:pPr>
      <w:r>
        <w:rPr>
          <w:rFonts w:ascii="Arial" w:hAnsi="Arial"/>
          <w:sz w:val="20"/>
        </w:rPr>
        <w:t>Tiêu chí khác theo quy định của Khoa phụ trách đào tạo.</w:t>
      </w:r>
    </w:p>
    <w:p>
      <w:pPr>
        <w:keepNext/>
        <w:spacing w:before="160" w:after="60"/>
      </w:pPr>
      <w:r>
        <w:rPr>
          <w:rFonts w:ascii="Arial" w:hAnsi="Arial"/>
          <w:b/>
          <w:color w:val="222222"/>
          <w:sz w:val="21"/>
        </w:rPr>
        <w:t>2. Sinh viên thực hiện khóa luận tốt nghiệp và đồ án tốt nghiệp trong thời</w:t>
      </w:r>
    </w:p>
    <w:p>
      <w:pPr>
        <w:spacing w:after="80" w:line="276" w:lineRule="auto"/>
      </w:pPr>
      <w:r>
        <w:rPr>
          <w:rFonts w:ascii="Arial" w:hAnsi="Arial"/>
          <w:i w:val="0"/>
          <w:sz w:val="20"/>
        </w:rPr>
        <w:t>gian là một học kỳ tại học kỳ cuối cùng của khóa học. Tuỳ đặc điểm của ngành</w:t>
      </w:r>
    </w:p>
    <w:p>
      <w:pPr>
        <w:spacing w:after="80" w:line="276" w:lineRule="auto"/>
      </w:pPr>
      <w:r>
        <w:rPr>
          <w:rFonts w:ascii="Arial" w:hAnsi="Arial"/>
          <w:i w:val="0"/>
          <w:sz w:val="20"/>
        </w:rPr>
        <w:t>đào tạo, sinh viên làm khóa luận tốt nghiệp có thể được giao đề tài sớm hơn.</w:t>
      </w:r>
    </w:p>
    <w:p>
      <w:pPr>
        <w:keepNext/>
        <w:spacing w:before="160" w:after="60"/>
      </w:pPr>
      <w:r>
        <w:rPr>
          <w:rFonts w:ascii="Arial" w:hAnsi="Arial"/>
          <w:b/>
          <w:color w:val="222222"/>
          <w:sz w:val="21"/>
        </w:rPr>
        <w:t>3. Đánh giá khóa luận tốt nghiệp, đồ án tốt nghiệp</w:t>
      </w:r>
    </w:p>
    <w:p>
      <w:pPr>
        <w:spacing w:after="80" w:line="276" w:lineRule="auto"/>
      </w:pPr>
      <w:r>
        <w:rPr>
          <w:rFonts w:ascii="Arial" w:hAnsi="Arial"/>
          <w:i w:val="0"/>
          <w:sz w:val="20"/>
        </w:rPr>
        <w:t>a) Đánh giá đồ án tốt nghiệp, khóa luận tốt nghiệp được thực hiện bởi Hội</w:t>
      </w:r>
    </w:p>
    <w:p>
      <w:pPr>
        <w:spacing w:after="80" w:line="276" w:lineRule="auto"/>
      </w:pPr>
      <w:r>
        <w:rPr>
          <w:rFonts w:ascii="Arial" w:hAnsi="Arial"/>
          <w:i w:val="0"/>
          <w:sz w:val="20"/>
        </w:rPr>
        <w:t>đồng đánh giá đồ án tốt nghiệp, khóa luận tốt nghiệp (sau đây gọi tắt là Hội</w:t>
      </w:r>
    </w:p>
    <w:p>
      <w:pPr>
        <w:spacing w:after="80" w:line="276" w:lineRule="auto"/>
      </w:pPr>
      <w:r>
        <w:rPr>
          <w:rFonts w:ascii="Arial" w:hAnsi="Arial"/>
          <w:i w:val="0"/>
          <w:sz w:val="20"/>
        </w:rPr>
        <w:t>đồng đánh giá).</w:t>
      </w:r>
    </w:p>
    <w:p>
      <w:pPr>
        <w:spacing w:after="80" w:line="276" w:lineRule="auto"/>
      </w:pPr>
      <w:r>
        <w:rPr>
          <w:rFonts w:ascii="Arial" w:hAnsi="Arial"/>
          <w:i w:val="0"/>
          <w:sz w:val="20"/>
        </w:rPr>
        <w:t>b) Hội đồng đánh giá do Hiệu trưởng ký quyết định thành lập trên cơ sở</w:t>
      </w:r>
    </w:p>
    <w:p>
      <w:pPr>
        <w:spacing w:after="80" w:line="276" w:lineRule="auto"/>
      </w:pPr>
      <w:r>
        <w:rPr>
          <w:rFonts w:ascii="Arial" w:hAnsi="Arial"/>
          <w:i w:val="0"/>
          <w:sz w:val="20"/>
        </w:rPr>
        <w:t>đề nghị của Khoa phụ trách đào tạo. Hội đồng đánh giá khóa luận tốt nghiệp</w:t>
      </w:r>
    </w:p>
    <w:p>
      <w:pPr>
        <w:spacing w:after="80" w:line="276" w:lineRule="auto"/>
      </w:pPr>
      <w:r>
        <w:rPr>
          <w:rFonts w:ascii="Arial" w:hAnsi="Arial"/>
          <w:i w:val="0"/>
          <w:sz w:val="20"/>
        </w:rPr>
        <w:t>gồm 05 thành viên, Hội đồng đánh giá đồ án tốt nghiệp gồm 03 thành viên gồm:</w:t>
      </w:r>
    </w:p>
    <w:p>
      <w:pPr>
        <w:spacing w:after="80" w:line="276" w:lineRule="auto"/>
      </w:pPr>
      <w:r>
        <w:rPr>
          <w:rFonts w:ascii="Arial" w:hAnsi="Arial"/>
          <w:i w:val="0"/>
          <w:sz w:val="20"/>
        </w:rPr>
        <w:t>01 chủ tịch, 01 thư ký và các ủy viên. Thành viên của Hội đồng đánh giá là</w:t>
      </w:r>
    </w:p>
    <w:p>
      <w:pPr>
        <w:spacing w:after="80" w:line="276" w:lineRule="auto"/>
      </w:pPr>
      <w:r>
        <w:rPr>
          <w:rFonts w:ascii="Arial" w:hAnsi="Arial"/>
          <w:i w:val="0"/>
          <w:sz w:val="20"/>
        </w:rPr>
        <w:t>giảng viên của trường hoặc có thể mời những người có chuyên môn phù hợp ở</w:t>
      </w:r>
    </w:p>
    <w:p>
      <w:pPr>
        <w:spacing w:after="80" w:line="276" w:lineRule="auto"/>
      </w:pPr>
      <w:r>
        <w:rPr>
          <w:rFonts w:ascii="Arial" w:hAnsi="Arial"/>
          <w:i w:val="0"/>
          <w:sz w:val="20"/>
        </w:rPr>
        <w:t>ngoài trường.</w:t>
      </w:r>
    </w:p>
    <w:p>
      <w:pPr>
        <w:spacing w:after="80" w:line="276" w:lineRule="auto"/>
      </w:pPr>
      <w:r>
        <w:rPr>
          <w:rFonts w:ascii="Arial" w:hAnsi="Arial"/>
          <w:i w:val="0"/>
          <w:sz w:val="20"/>
        </w:rPr>
        <w:t>c) Điểm đánh giá khóa luận tốt nghiệp, đồ án tốt nghiệp được đánh giá</w:t>
      </w:r>
    </w:p>
    <w:p>
      <w:pPr>
        <w:spacing w:after="80" w:line="276" w:lineRule="auto"/>
      </w:pPr>
      <w:r>
        <w:rPr>
          <w:rFonts w:ascii="Arial" w:hAnsi="Arial"/>
          <w:i w:val="0"/>
          <w:sz w:val="20"/>
        </w:rPr>
        <w:t>theo thang điểm 10. Điểm tổng kết đánh giá khóa luận tốt nghiệp, đồ án tốt</w:t>
      </w:r>
    </w:p>
    <w:p>
      <w:pPr>
        <w:spacing w:after="80" w:line="276" w:lineRule="auto"/>
      </w:pPr>
      <w:r>
        <w:rPr>
          <w:rFonts w:ascii="Arial" w:hAnsi="Arial"/>
          <w:i w:val="0"/>
          <w:sz w:val="20"/>
        </w:rPr>
        <w:t>nghiệp được làm tròn tới một chữ số thập phân, là điểm trung bình cộng không</w:t>
      </w:r>
    </w:p>
    <w:p>
      <w:pPr>
        <w:spacing w:after="80" w:line="276" w:lineRule="auto"/>
      </w:pPr>
      <w:r>
        <w:rPr>
          <w:rFonts w:ascii="Arial" w:hAnsi="Arial"/>
          <w:i w:val="0"/>
          <w:sz w:val="20"/>
        </w:rPr>
        <w:t>tính hệ số của tất cả thành viên bao gồm: thành viên Hội đồng, người hướng</w:t>
      </w:r>
    </w:p>
    <w:p>
      <w:pPr>
        <w:spacing w:after="80" w:line="276" w:lineRule="auto"/>
      </w:pPr>
      <w:r>
        <w:rPr>
          <w:rFonts w:ascii="Arial" w:hAnsi="Arial"/>
          <w:i w:val="0"/>
          <w:sz w:val="20"/>
        </w:rPr>
        <w:t>dẫn và người phản biện. Nếu các Khoa có quy định khác về điểm tổng kết đánh</w:t>
      </w:r>
    </w:p>
    <w:p>
      <w:pPr>
        <w:spacing w:after="80" w:line="276" w:lineRule="auto"/>
      </w:pPr>
      <w:r>
        <w:rPr>
          <w:rFonts w:ascii="Arial" w:hAnsi="Arial"/>
          <w:i w:val="0"/>
          <w:sz w:val="20"/>
        </w:rPr>
        <w:t>giá khóa luận tốt nghiệp, đồ án tốt nghiệp so với cách tính này thì quy định về</w:t>
      </w:r>
    </w:p>
    <w:p>
      <w:pPr>
        <w:spacing w:after="80" w:line="276" w:lineRule="auto"/>
      </w:pPr>
      <w:r>
        <w:rPr>
          <w:rFonts w:ascii="Arial" w:hAnsi="Arial"/>
          <w:i w:val="0"/>
          <w:sz w:val="20"/>
        </w:rPr>
        <w:t>cách tính điểm này của Khoa phải được đề xuất bằng văn bản và được Hiệu</w:t>
      </w:r>
    </w:p>
    <w:p>
      <w:pPr>
        <w:spacing w:after="80" w:line="276" w:lineRule="auto"/>
      </w:pPr>
      <w:r>
        <w:rPr>
          <w:rFonts w:ascii="Arial" w:hAnsi="Arial"/>
          <w:i w:val="0"/>
          <w:sz w:val="20"/>
        </w:rPr>
        <w:t>trưởng phê duyệt.</w:t>
      </w:r>
    </w:p>
    <w:p>
      <w:pPr>
        <w:spacing w:after="80" w:line="276" w:lineRule="auto"/>
      </w:pPr>
      <w:r>
        <w:rPr>
          <w:rFonts w:ascii="Arial" w:hAnsi="Arial"/>
          <w:i w:val="0"/>
          <w:sz w:val="20"/>
        </w:rPr>
        <w:t>d) Kết quả đánh giá khóa luận tốt nghiệp, đồ án tốt nghiệp phải được</w:t>
      </w:r>
    </w:p>
    <w:p>
      <w:pPr>
        <w:spacing w:after="80" w:line="276" w:lineRule="auto"/>
      </w:pPr>
      <w:r>
        <w:rPr>
          <w:rFonts w:ascii="Arial" w:hAnsi="Arial"/>
          <w:i w:val="0"/>
          <w:sz w:val="20"/>
        </w:rPr>
        <w:t>công bố ngay sau buổi bảo vệ, được tính vào điểm trung bình và trung bình tích</w:t>
      </w:r>
    </w:p>
    <w:p>
      <w:pPr>
        <w:spacing w:after="80" w:line="276" w:lineRule="auto"/>
      </w:pPr>
      <w:r>
        <w:rPr>
          <w:rFonts w:ascii="Arial" w:hAnsi="Arial"/>
          <w:i w:val="0"/>
          <w:sz w:val="20"/>
        </w:rPr>
        <w:t>lũy theo tổng số tín chỉ của khóa luận tốt nghiệp/đồ án tốt nghiệp.</w:t>
      </w:r>
    </w:p>
    <w:p>
      <w:pPr>
        <w:spacing w:after="80" w:line="276" w:lineRule="auto"/>
      </w:pPr>
      <w:r>
        <w:rPr>
          <w:rFonts w:ascii="Arial" w:hAnsi="Arial"/>
          <w:i w:val="0"/>
          <w:sz w:val="20"/>
        </w:rPr>
        <w:t>a) Tổ chức bảo vệ và đánh giá khóa luận tốt nghiệp, đồ án tốt nghiệp</w:t>
      </w:r>
    </w:p>
    <w:p>
      <w:pPr>
        <w:spacing w:after="80" w:line="276" w:lineRule="auto"/>
      </w:pPr>
      <w:r>
        <w:rPr>
          <w:rFonts w:ascii="Arial" w:hAnsi="Arial"/>
          <w:i w:val="0"/>
          <w:sz w:val="20"/>
        </w:rPr>
        <w:t>được thực hiện trực tuyến trong trường hợp bất khả kháng do thiên tai hoặc dịch</w:t>
      </w:r>
    </w:p>
    <w:p>
      <w:pPr>
        <w:spacing w:after="80" w:line="276" w:lineRule="auto"/>
      </w:pPr>
      <w:r>
        <w:rPr>
          <w:rFonts w:ascii="Arial" w:hAnsi="Arial"/>
          <w:i w:val="0"/>
          <w:sz w:val="20"/>
        </w:rPr>
        <w:t>bệnh, Hiệu trưởng quyết định cho phép tổ chức bảo vệ và đánh giá đồ án tốt</w:t>
      </w:r>
    </w:p>
    <w:p>
      <w:pPr>
        <w:spacing w:after="80" w:line="276" w:lineRule="auto"/>
      </w:pPr>
      <w:r>
        <w:rPr>
          <w:rFonts w:ascii="Arial" w:hAnsi="Arial"/>
          <w:i w:val="0"/>
          <w:sz w:val="20"/>
        </w:rPr>
        <w:t>nghiệp, khóa luận tốt nghiệp theo phương thức trực tuyến thay cho phương thức</w:t>
      </w:r>
    </w:p>
    <w:p>
      <w:pPr>
        <w:spacing w:after="80" w:line="276" w:lineRule="auto"/>
      </w:pPr>
      <w:r>
        <w:rPr>
          <w:rFonts w:ascii="Arial" w:hAnsi="Arial"/>
          <w:i w:val="0"/>
          <w:sz w:val="20"/>
        </w:rPr>
        <w:t>trực tiếp. Hướng dẫn tổ chức bảo vệ và đánh giá đồ án tốt nghiệp, khóa luận tốt</w:t>
      </w:r>
    </w:p>
    <w:p>
      <w:pPr>
        <w:spacing w:after="80" w:line="276" w:lineRule="auto"/>
      </w:pPr>
      <w:r>
        <w:rPr>
          <w:rFonts w:ascii="Arial" w:hAnsi="Arial"/>
          <w:i w:val="0"/>
          <w:sz w:val="20"/>
        </w:rPr>
        <w:t>nghiệp theo phục lục 1 đính kèm.</w:t>
      </w:r>
    </w:p>
    <w:p>
      <w:pPr>
        <w:keepNext/>
        <w:spacing w:before="240" w:after="100"/>
      </w:pPr>
      <w:r>
        <w:rPr>
          <w:rFonts w:ascii="Arial" w:hAnsi="Arial"/>
          <w:b/>
          <w:color w:val="003366"/>
          <w:sz w:val="24"/>
        </w:rPr>
        <w:t>Điều 11.  Tính điểm học phần</w:t>
      </w:r>
    </w:p>
    <w:p>
      <w:pPr>
        <w:keepNext/>
        <w:spacing w:before="160" w:after="60"/>
      </w:pPr>
      <w:r>
        <w:rPr>
          <w:rFonts w:ascii="Arial" w:hAnsi="Arial"/>
          <w:b/>
          <w:color w:val="222222"/>
          <w:sz w:val="21"/>
        </w:rPr>
        <w:t>1. Điểm học phần theo thang điểm 10, là điểm cuối cùng để đánh giá kết</w:t>
      </w:r>
    </w:p>
    <w:p>
      <w:pPr>
        <w:spacing w:after="80" w:line="276" w:lineRule="auto"/>
      </w:pPr>
      <w:r>
        <w:rPr>
          <w:rFonts w:ascii="Arial" w:hAnsi="Arial"/>
          <w:i w:val="0"/>
          <w:sz w:val="20"/>
        </w:rPr>
        <w:t>quả của một học phần, được tính từ tổng các điểm thành phần nhân với trọng</w:t>
      </w:r>
    </w:p>
    <w:p>
      <w:pPr>
        <w:spacing w:after="80" w:line="276" w:lineRule="auto"/>
      </w:pPr>
      <w:r>
        <w:rPr>
          <w:rFonts w:ascii="Arial" w:hAnsi="Arial"/>
          <w:i w:val="0"/>
          <w:sz w:val="20"/>
        </w:rPr>
        <w:t>số tương ứng, được làm tròn tới một chữ số thập phân và được quy đổi theo</w:t>
      </w:r>
    </w:p>
    <w:p>
      <w:pPr>
        <w:spacing w:after="80" w:line="276" w:lineRule="auto"/>
      </w:pPr>
      <w:r>
        <w:rPr>
          <w:rFonts w:ascii="Arial" w:hAnsi="Arial"/>
          <w:i w:val="0"/>
          <w:sz w:val="20"/>
        </w:rPr>
        <w:t>thang điểm 4 và thang điểm chữ như sau:</w:t>
      </w:r>
    </w:p>
    <w:p>
      <w:pPr>
        <w:spacing w:after="80" w:line="276" w:lineRule="auto"/>
      </w:pPr>
      <w:r>
        <w:rPr>
          <w:rFonts w:ascii="Arial" w:hAnsi="Arial"/>
          <w:i w:val="0"/>
          <w:sz w:val="20"/>
        </w:rPr>
        <w:t>Thang điểm 10</w:t>
      </w:r>
    </w:p>
    <w:p>
      <w:pPr>
        <w:spacing w:after="80" w:line="276" w:lineRule="auto"/>
      </w:pPr>
      <w:r>
        <w:rPr>
          <w:rFonts w:ascii="Arial" w:hAnsi="Arial"/>
          <w:i w:val="0"/>
          <w:sz w:val="20"/>
        </w:rPr>
        <w:t>Điểm 4</w:t>
      </w:r>
    </w:p>
    <w:p>
      <w:pPr>
        <w:spacing w:after="80" w:line="276" w:lineRule="auto"/>
      </w:pPr>
      <w:r>
        <w:rPr>
          <w:rFonts w:ascii="Arial" w:hAnsi="Arial"/>
          <w:i w:val="0"/>
          <w:sz w:val="20"/>
        </w:rPr>
        <w:t>Điểm chữ</w:t>
      </w:r>
    </w:p>
    <w:p>
      <w:pPr>
        <w:spacing w:after="80" w:line="276" w:lineRule="auto"/>
      </w:pPr>
      <w:r>
        <w:rPr>
          <w:rFonts w:ascii="Arial" w:hAnsi="Arial"/>
          <w:i w:val="0"/>
          <w:sz w:val="20"/>
        </w:rPr>
        <w:t>9,0 đến 10,0</w:t>
      </w:r>
    </w:p>
    <w:p>
      <w:pPr>
        <w:spacing w:after="80" w:line="276" w:lineRule="auto"/>
      </w:pPr>
      <w:r>
        <w:rPr>
          <w:rFonts w:ascii="Arial" w:hAnsi="Arial"/>
          <w:i w:val="0"/>
          <w:sz w:val="20"/>
        </w:rPr>
        <w:t>4,0</w:t>
      </w:r>
    </w:p>
    <w:p>
      <w:pPr>
        <w:spacing w:after="80" w:line="276" w:lineRule="auto"/>
      </w:pPr>
      <w:r>
        <w:rPr>
          <w:rFonts w:ascii="Arial" w:hAnsi="Arial"/>
          <w:i w:val="0"/>
          <w:sz w:val="20"/>
        </w:rPr>
        <w:t>A+</w:t>
      </w:r>
    </w:p>
    <w:p>
      <w:pPr>
        <w:spacing w:after="80" w:line="276" w:lineRule="auto"/>
      </w:pPr>
      <w:r>
        <w:rPr>
          <w:rFonts w:ascii="Arial" w:hAnsi="Arial"/>
          <w:i w:val="0"/>
          <w:sz w:val="20"/>
        </w:rPr>
        <w:t>8,0 đến cận 9,0</w:t>
      </w:r>
    </w:p>
    <w:p>
      <w:pPr>
        <w:spacing w:after="80" w:line="276" w:lineRule="auto"/>
      </w:pPr>
      <w:r>
        <w:rPr>
          <w:rFonts w:ascii="Arial" w:hAnsi="Arial"/>
          <w:i w:val="0"/>
          <w:sz w:val="20"/>
        </w:rPr>
        <w:t>3,5</w:t>
      </w:r>
    </w:p>
    <w:p>
      <w:pPr>
        <w:spacing w:after="80" w:line="276" w:lineRule="auto"/>
      </w:pPr>
      <w:r>
        <w:rPr>
          <w:rFonts w:ascii="Arial" w:hAnsi="Arial"/>
          <w:i w:val="0"/>
          <w:sz w:val="20"/>
        </w:rPr>
        <w:t>A</w:t>
      </w:r>
    </w:p>
    <w:p>
      <w:pPr>
        <w:spacing w:after="80" w:line="276" w:lineRule="auto"/>
      </w:pPr>
      <w:r>
        <w:rPr>
          <w:rFonts w:ascii="Arial" w:hAnsi="Arial"/>
          <w:i w:val="0"/>
          <w:sz w:val="20"/>
        </w:rPr>
        <w:t>7,0 đến cận 8,0</w:t>
      </w:r>
    </w:p>
    <w:p>
      <w:pPr>
        <w:spacing w:after="80" w:line="276" w:lineRule="auto"/>
      </w:pPr>
      <w:r>
        <w:rPr>
          <w:rFonts w:ascii="Arial" w:hAnsi="Arial"/>
          <w:i w:val="0"/>
          <w:sz w:val="20"/>
        </w:rPr>
        <w:t>3,0</w:t>
      </w:r>
    </w:p>
    <w:p>
      <w:pPr>
        <w:spacing w:after="80" w:line="276" w:lineRule="auto"/>
      </w:pPr>
      <w:r>
        <w:rPr>
          <w:rFonts w:ascii="Arial" w:hAnsi="Arial"/>
          <w:i w:val="0"/>
          <w:sz w:val="20"/>
        </w:rPr>
        <w:t>B+</w:t>
      </w:r>
    </w:p>
    <w:p>
      <w:pPr>
        <w:spacing w:after="80" w:line="276" w:lineRule="auto"/>
      </w:pPr>
      <w:r>
        <w:rPr>
          <w:rFonts w:ascii="Arial" w:hAnsi="Arial"/>
          <w:i w:val="0"/>
          <w:sz w:val="20"/>
        </w:rPr>
        <w:t>6,0 đến cận 7,0</w:t>
      </w:r>
    </w:p>
    <w:p>
      <w:pPr>
        <w:spacing w:after="80" w:line="276" w:lineRule="auto"/>
      </w:pPr>
      <w:r>
        <w:rPr>
          <w:rFonts w:ascii="Arial" w:hAnsi="Arial"/>
          <w:i w:val="0"/>
          <w:sz w:val="20"/>
        </w:rPr>
        <w:t>2,5</w:t>
      </w:r>
    </w:p>
    <w:p>
      <w:pPr>
        <w:spacing w:after="80" w:line="276" w:lineRule="auto"/>
      </w:pPr>
      <w:r>
        <w:rPr>
          <w:rFonts w:ascii="Arial" w:hAnsi="Arial"/>
          <w:i w:val="0"/>
          <w:sz w:val="20"/>
        </w:rPr>
        <w:t>B</w:t>
      </w:r>
    </w:p>
    <w:p>
      <w:pPr>
        <w:spacing w:after="80" w:line="276" w:lineRule="auto"/>
      </w:pPr>
      <w:r>
        <w:rPr>
          <w:rFonts w:ascii="Arial" w:hAnsi="Arial"/>
          <w:i w:val="0"/>
          <w:sz w:val="20"/>
        </w:rPr>
        <w:t>5,0 đến cận 6,0</w:t>
      </w:r>
    </w:p>
    <w:p>
      <w:pPr>
        <w:spacing w:after="80" w:line="276" w:lineRule="auto"/>
      </w:pPr>
      <w:r>
        <w:rPr>
          <w:rFonts w:ascii="Arial" w:hAnsi="Arial"/>
          <w:i w:val="0"/>
          <w:sz w:val="20"/>
        </w:rPr>
        <w:t>2,0</w:t>
      </w:r>
    </w:p>
    <w:p>
      <w:pPr>
        <w:spacing w:after="80" w:line="276" w:lineRule="auto"/>
      </w:pPr>
      <w:r>
        <w:rPr>
          <w:rFonts w:ascii="Arial" w:hAnsi="Arial"/>
          <w:i w:val="0"/>
          <w:sz w:val="20"/>
        </w:rPr>
        <w:t>C</w:t>
      </w:r>
    </w:p>
    <w:p>
      <w:pPr>
        <w:spacing w:after="80" w:line="276" w:lineRule="auto"/>
      </w:pPr>
      <w:r>
        <w:rPr>
          <w:rFonts w:ascii="Arial" w:hAnsi="Arial"/>
          <w:i w:val="0"/>
          <w:sz w:val="20"/>
        </w:rPr>
        <w:t>4,0 đến cận 5,0</w:t>
      </w:r>
    </w:p>
    <w:p>
      <w:pPr>
        <w:spacing w:after="80" w:line="276" w:lineRule="auto"/>
      </w:pPr>
      <w:r>
        <w:rPr>
          <w:rFonts w:ascii="Arial" w:hAnsi="Arial"/>
          <w:i w:val="0"/>
          <w:sz w:val="20"/>
        </w:rPr>
        <w:t>1,5</w:t>
      </w:r>
    </w:p>
    <w:p>
      <w:pPr>
        <w:spacing w:after="80" w:line="276" w:lineRule="auto"/>
      </w:pPr>
      <w:r>
        <w:rPr>
          <w:rFonts w:ascii="Arial" w:hAnsi="Arial"/>
          <w:i w:val="0"/>
          <w:sz w:val="20"/>
        </w:rPr>
        <w:t>D+</w:t>
      </w:r>
    </w:p>
    <w:p>
      <w:pPr>
        <w:spacing w:after="80" w:line="276" w:lineRule="auto"/>
      </w:pPr>
      <w:r>
        <w:rPr>
          <w:rFonts w:ascii="Arial" w:hAnsi="Arial"/>
          <w:i w:val="0"/>
          <w:sz w:val="20"/>
        </w:rPr>
        <w:t>3,0 đến cận 4,0</w:t>
      </w:r>
    </w:p>
    <w:p>
      <w:pPr>
        <w:spacing w:after="80" w:line="276" w:lineRule="auto"/>
      </w:pPr>
      <w:r>
        <w:rPr>
          <w:rFonts w:ascii="Arial" w:hAnsi="Arial"/>
          <w:i w:val="0"/>
          <w:sz w:val="20"/>
        </w:rPr>
        <w:t>1,0</w:t>
      </w:r>
    </w:p>
    <w:p>
      <w:pPr>
        <w:spacing w:after="80" w:line="276" w:lineRule="auto"/>
      </w:pPr>
      <w:r>
        <w:rPr>
          <w:rFonts w:ascii="Arial" w:hAnsi="Arial"/>
          <w:i w:val="0"/>
          <w:sz w:val="20"/>
        </w:rPr>
        <w:t>D</w:t>
      </w:r>
    </w:p>
    <w:p>
      <w:pPr>
        <w:spacing w:after="80" w:line="276" w:lineRule="auto"/>
      </w:pPr>
      <w:r>
        <w:rPr>
          <w:rFonts w:ascii="Arial" w:hAnsi="Arial"/>
          <w:i w:val="0"/>
          <w:sz w:val="20"/>
        </w:rPr>
        <w:t>&lt;3,0</w:t>
      </w:r>
    </w:p>
    <w:p>
      <w:pPr>
        <w:spacing w:after="80" w:line="276" w:lineRule="auto"/>
      </w:pPr>
      <w:r>
        <w:rPr>
          <w:rFonts w:ascii="Arial" w:hAnsi="Arial"/>
          <w:i w:val="0"/>
          <w:sz w:val="20"/>
        </w:rPr>
        <w:t>0,0</w:t>
      </w:r>
    </w:p>
    <w:p>
      <w:pPr>
        <w:spacing w:after="80" w:line="276" w:lineRule="auto"/>
      </w:pPr>
      <w:r>
        <w:rPr>
          <w:rFonts w:ascii="Arial" w:hAnsi="Arial"/>
          <w:i w:val="0"/>
          <w:sz w:val="20"/>
        </w:rPr>
        <w:t>F</w:t>
      </w:r>
    </w:p>
    <w:p>
      <w:pPr>
        <w:keepNext/>
        <w:spacing w:before="160" w:after="60"/>
      </w:pPr>
      <w:r>
        <w:rPr>
          <w:rFonts w:ascii="Arial" w:hAnsi="Arial"/>
          <w:b/>
          <w:color w:val="222222"/>
          <w:sz w:val="21"/>
        </w:rPr>
        <w:t>2. Thang điểm 4 và thang điểm chữ chỉ mang tính tham khảo, chuyển đổi</w:t>
      </w:r>
    </w:p>
    <w:p>
      <w:pPr>
        <w:spacing w:after="80" w:line="276" w:lineRule="auto"/>
      </w:pPr>
      <w:r>
        <w:rPr>
          <w:rFonts w:ascii="Arial" w:hAnsi="Arial"/>
          <w:i w:val="0"/>
          <w:sz w:val="20"/>
        </w:rPr>
        <w:t>khi cần thiết, không dùng để ghi và phân loại đánh giá.</w:t>
      </w:r>
    </w:p>
    <w:p>
      <w:pPr>
        <w:keepNext/>
        <w:spacing w:before="160" w:after="60"/>
      </w:pPr>
      <w:r>
        <w:rPr>
          <w:rFonts w:ascii="Arial" w:hAnsi="Arial"/>
          <w:b/>
          <w:color w:val="222222"/>
          <w:sz w:val="21"/>
        </w:rPr>
        <w:t>3. Đối với các học phần đã hoàn tất đăng ký, sinh viên có trách nhiệm</w:t>
      </w:r>
    </w:p>
    <w:p>
      <w:pPr>
        <w:spacing w:after="80" w:line="276" w:lineRule="auto"/>
      </w:pPr>
      <w:r>
        <w:rPr>
          <w:rFonts w:ascii="Arial" w:hAnsi="Arial"/>
          <w:i w:val="0"/>
          <w:sz w:val="20"/>
        </w:rPr>
        <w:t>thực hiện đầy đủ và nghiêm túc mọi yêu cầu của giảng viên về việc lên lớp, làm</w:t>
      </w:r>
    </w:p>
    <w:p>
      <w:pPr>
        <w:spacing w:after="80" w:line="276" w:lineRule="auto"/>
      </w:pPr>
      <w:r>
        <w:rPr>
          <w:rFonts w:ascii="Arial" w:hAnsi="Arial"/>
          <w:i w:val="0"/>
          <w:sz w:val="20"/>
        </w:rPr>
        <w:t>bài tập, thực hành, thí nghiệm, tham gia thảo luận, tham dự kiểm tra giữa học</w:t>
      </w:r>
    </w:p>
    <w:p>
      <w:pPr>
        <w:spacing w:after="80" w:line="276" w:lineRule="auto"/>
      </w:pPr>
      <w:r>
        <w:rPr>
          <w:rFonts w:ascii="Arial" w:hAnsi="Arial"/>
          <w:i w:val="0"/>
          <w:sz w:val="20"/>
        </w:rPr>
        <w:t>kỳ và thi kết thúc học phần. Nếu không thực hiện phần việc nào, sinh viên sẽ</w:t>
      </w:r>
    </w:p>
    <w:p>
      <w:pPr>
        <w:spacing w:after="80" w:line="276" w:lineRule="auto"/>
      </w:pPr>
      <w:r>
        <w:rPr>
          <w:rFonts w:ascii="Arial" w:hAnsi="Arial"/>
          <w:i w:val="0"/>
          <w:sz w:val="20"/>
        </w:rPr>
        <w:t>nhận điểm không (0) cho điểm thành phần tương ứng.</w:t>
      </w:r>
    </w:p>
    <w:p>
      <w:pPr>
        <w:keepNext/>
        <w:spacing w:before="160" w:after="60"/>
      </w:pPr>
      <w:r>
        <w:rPr>
          <w:rFonts w:ascii="Arial" w:hAnsi="Arial"/>
          <w:b/>
          <w:color w:val="222222"/>
          <w:sz w:val="21"/>
        </w:rPr>
        <w:t>4. Học phần có điểm từ 5,0 (năm) trở lên được xem là học phần đạt, số</w:t>
      </w:r>
    </w:p>
    <w:p>
      <w:pPr>
        <w:spacing w:after="80" w:line="276" w:lineRule="auto"/>
      </w:pPr>
      <w:r>
        <w:rPr>
          <w:rFonts w:ascii="Arial" w:hAnsi="Arial"/>
          <w:i w:val="0"/>
          <w:sz w:val="20"/>
        </w:rPr>
        <w:t>tín chỉ của học phần này được tính là số tín chỉ tích lũy.</w:t>
      </w:r>
    </w:p>
    <w:p>
      <w:pPr>
        <w:spacing w:after="80" w:line="276" w:lineRule="auto"/>
      </w:pPr>
      <w:r>
        <w:rPr>
          <w:rFonts w:ascii="Arial" w:hAnsi="Arial"/>
          <w:i w:val="0"/>
          <w:sz w:val="20"/>
        </w:rPr>
        <w:t>5. Sinh viên vắng mặt trong buổi thi, đánh giá không có lý do chính đáng</w:t>
      </w:r>
    </w:p>
    <w:p>
      <w:pPr>
        <w:spacing w:after="80" w:line="276" w:lineRule="auto"/>
      </w:pPr>
      <w:r>
        <w:rPr>
          <w:rFonts w:ascii="Arial" w:hAnsi="Arial"/>
          <w:i w:val="0"/>
          <w:sz w:val="20"/>
        </w:rPr>
        <w:t>phải nhận điểm 0 (không) đối với điểm thành phần/hình thức kiểm tra tương</w:t>
      </w:r>
    </w:p>
    <w:p>
      <w:pPr>
        <w:spacing w:after="80" w:line="276" w:lineRule="auto"/>
      </w:pPr>
      <w:r>
        <w:rPr>
          <w:rFonts w:ascii="Arial" w:hAnsi="Arial"/>
          <w:i w:val="0"/>
          <w:sz w:val="20"/>
        </w:rPr>
        <w:t>ứng. Trường hợp sinh viên vắng mặt trong buổi thi cuối học kỳ nhưng có nộp</w:t>
      </w:r>
    </w:p>
    <w:p>
      <w:pPr>
        <w:spacing w:after="80" w:line="276" w:lineRule="auto"/>
      </w:pPr>
      <w:r>
        <w:rPr>
          <w:rFonts w:ascii="Arial" w:hAnsi="Arial"/>
          <w:i w:val="0"/>
          <w:sz w:val="20"/>
        </w:rPr>
        <w:t>đơn xin phép vắng thi và có lý do chính đáng sẽ được hoãn thi theo quy định tại</w:t>
      </w:r>
    </w:p>
    <w:p>
      <w:pPr>
        <w:spacing w:after="80" w:line="276" w:lineRule="auto"/>
      </w:pPr>
      <w:r>
        <w:rPr>
          <w:rFonts w:ascii="Arial" w:hAnsi="Arial"/>
          <w:i w:val="0"/>
          <w:sz w:val="20"/>
        </w:rPr>
        <w:t>Điều 12 của quy chế này.</w:t>
      </w:r>
    </w:p>
    <w:p>
      <w:pPr>
        <w:spacing w:after="80" w:line="276" w:lineRule="auto"/>
      </w:pPr>
      <w:r>
        <w:rPr>
          <w:rFonts w:ascii="Arial" w:hAnsi="Arial"/>
          <w:i w:val="0"/>
          <w:sz w:val="20"/>
        </w:rPr>
        <w:t>Điều 12.  Hoãn thi</w:t>
      </w:r>
    </w:p>
    <w:p>
      <w:pPr>
        <w:keepNext/>
        <w:spacing w:before="160" w:after="60"/>
      </w:pPr>
      <w:r>
        <w:rPr>
          <w:rFonts w:ascii="Arial" w:hAnsi="Arial"/>
          <w:b/>
          <w:color w:val="222222"/>
          <w:sz w:val="21"/>
        </w:rPr>
        <w:t>1. Những trường hợp đột xuất và có lý do chính đáng (ví dụ như: ốm đau,</w:t>
      </w:r>
    </w:p>
    <w:p>
      <w:pPr>
        <w:spacing w:after="80" w:line="276" w:lineRule="auto"/>
      </w:pPr>
      <w:r>
        <w:rPr>
          <w:rFonts w:ascii="Arial" w:hAnsi="Arial"/>
          <w:i w:val="0"/>
          <w:sz w:val="20"/>
        </w:rPr>
        <w:t>tai nạn, hoàn cảnh khó khăn đột xuất) không thể dự thi cuối học kỳ, sinh viên</w:t>
      </w:r>
    </w:p>
    <w:p>
      <w:pPr>
        <w:spacing w:after="80" w:line="276" w:lineRule="auto"/>
      </w:pPr>
      <w:r>
        <w:rPr>
          <w:rFonts w:ascii="Arial" w:hAnsi="Arial"/>
          <w:i w:val="0"/>
          <w:sz w:val="20"/>
        </w:rPr>
        <w:t>sẽ được xem xét giải quyết cho hoãn thi.</w:t>
      </w:r>
    </w:p>
    <w:p>
      <w:pPr>
        <w:keepNext/>
        <w:spacing w:before="160" w:after="60"/>
      </w:pPr>
      <w:r>
        <w:rPr>
          <w:rFonts w:ascii="Arial" w:hAnsi="Arial"/>
          <w:b/>
          <w:color w:val="222222"/>
          <w:sz w:val="21"/>
        </w:rPr>
        <w:t>2. Điểm của học phần hoãn thi được ký hiệu I (điểm I). Để được nhận</w:t>
      </w:r>
    </w:p>
    <w:p>
      <w:pPr>
        <w:spacing w:after="80" w:line="276" w:lineRule="auto"/>
      </w:pPr>
      <w:r>
        <w:rPr>
          <w:rFonts w:ascii="Arial" w:hAnsi="Arial"/>
          <w:i w:val="0"/>
          <w:sz w:val="20"/>
        </w:rPr>
        <w:t>điểm I, sinh viên phải hoàn tất học phí học kỳ và nộp đơn trình bày rõ lý do xin</w:t>
      </w:r>
    </w:p>
    <w:p>
      <w:pPr>
        <w:spacing w:after="80" w:line="276" w:lineRule="auto"/>
      </w:pPr>
      <w:r>
        <w:rPr>
          <w:rFonts w:ascii="Arial" w:hAnsi="Arial"/>
          <w:i w:val="0"/>
          <w:sz w:val="20"/>
        </w:rPr>
        <w:t>hoãn thi học phần cùng các giấy tờ xác nhận cần thiết cho Phòng đào tạo trong</w:t>
      </w:r>
    </w:p>
    <w:p>
      <w:pPr>
        <w:spacing w:after="80" w:line="276" w:lineRule="auto"/>
      </w:pPr>
      <w:r>
        <w:rPr>
          <w:rFonts w:ascii="Arial" w:hAnsi="Arial"/>
          <w:i w:val="0"/>
          <w:sz w:val="20"/>
        </w:rPr>
        <w:t>vòng 05 ngày làm việc kể từ ngày thi để được xem xét.</w:t>
      </w:r>
    </w:p>
    <w:p>
      <w:pPr>
        <w:keepNext/>
        <w:spacing w:before="160" w:after="60"/>
      </w:pPr>
      <w:r>
        <w:rPr>
          <w:rFonts w:ascii="Arial" w:hAnsi="Arial"/>
          <w:b/>
          <w:color w:val="222222"/>
          <w:sz w:val="21"/>
        </w:rPr>
        <w:t>3. Sinh viên sẽ không bị điểm không (0) đối với học phần được xét nhận</w:t>
      </w:r>
    </w:p>
    <w:p>
      <w:pPr>
        <w:spacing w:after="80" w:line="276" w:lineRule="auto"/>
      </w:pPr>
      <w:r>
        <w:rPr>
          <w:rFonts w:ascii="Arial" w:hAnsi="Arial"/>
          <w:i w:val="0"/>
          <w:sz w:val="20"/>
        </w:rPr>
        <w:t>điểm I ở học kỳ đó. Sinh viên phải nộp đơn đăng ký học lại học phần hoãn thi</w:t>
      </w:r>
    </w:p>
    <w:p>
      <w:pPr>
        <w:spacing w:after="80" w:line="276" w:lineRule="auto"/>
      </w:pPr>
      <w:r>
        <w:rPr>
          <w:rFonts w:ascii="Arial" w:hAnsi="Arial"/>
          <w:i w:val="0"/>
          <w:sz w:val="20"/>
        </w:rPr>
        <w:t>trong vòng một năm học tiếp theo. Sinh viên không phải đóng học phí học phần</w:t>
      </w:r>
    </w:p>
    <w:p>
      <w:pPr>
        <w:spacing w:after="80" w:line="276" w:lineRule="auto"/>
      </w:pPr>
      <w:r>
        <w:rPr>
          <w:rFonts w:ascii="Arial" w:hAnsi="Arial"/>
          <w:i w:val="0"/>
          <w:sz w:val="20"/>
        </w:rPr>
        <w:t>được điểm I khi được xét đăng ký học lại học phần này.</w:t>
      </w:r>
    </w:p>
    <w:p>
      <w:pPr>
        <w:keepNext/>
        <w:spacing w:before="160" w:after="60"/>
      </w:pPr>
      <w:r>
        <w:rPr>
          <w:rFonts w:ascii="Arial" w:hAnsi="Arial"/>
          <w:b/>
          <w:color w:val="222222"/>
          <w:sz w:val="21"/>
        </w:rPr>
        <w:t>4. Đối với kiểm tra lấy điểm quá trình, trong trường hợp sinh viên vắng</w:t>
      </w:r>
    </w:p>
    <w:p>
      <w:pPr>
        <w:spacing w:after="80" w:line="276" w:lineRule="auto"/>
      </w:pPr>
      <w:r>
        <w:rPr>
          <w:rFonts w:ascii="Arial" w:hAnsi="Arial"/>
          <w:i w:val="0"/>
          <w:sz w:val="20"/>
        </w:rPr>
        <w:t>kiểm tra có lý do chính đáng thì giảng viên phụ trách giảng dạy sẽ chủ động</w:t>
      </w:r>
    </w:p>
    <w:p>
      <w:pPr>
        <w:spacing w:after="80" w:line="276" w:lineRule="auto"/>
      </w:pPr>
      <w:r>
        <w:rPr>
          <w:rFonts w:ascii="Arial" w:hAnsi="Arial"/>
          <w:i w:val="0"/>
          <w:sz w:val="20"/>
        </w:rPr>
        <w:t>giải quyết cho sinh viên được kiểm tra lại vào thời điểm khác trong khoảng thời</w:t>
      </w:r>
    </w:p>
    <w:p>
      <w:pPr>
        <w:spacing w:after="80" w:line="276" w:lineRule="auto"/>
      </w:pPr>
      <w:r>
        <w:rPr>
          <w:rFonts w:ascii="Arial" w:hAnsi="Arial"/>
          <w:i w:val="0"/>
          <w:sz w:val="20"/>
        </w:rPr>
        <w:t>gian trước ngày thi cuối học kỳ của học phần đó. Điểm thành phần của học</w:t>
      </w:r>
    </w:p>
    <w:p>
      <w:pPr>
        <w:spacing w:after="80" w:line="276" w:lineRule="auto"/>
      </w:pPr>
      <w:r>
        <w:rPr>
          <w:rFonts w:ascii="Arial" w:hAnsi="Arial"/>
          <w:i w:val="0"/>
          <w:sz w:val="20"/>
        </w:rPr>
        <w:t>phần hoãn thi sẽ không được bảo lưu.</w:t>
      </w:r>
    </w:p>
    <w:p>
      <w:pPr>
        <w:spacing w:after="80" w:line="276" w:lineRule="auto"/>
      </w:pPr>
      <w:r>
        <w:rPr>
          <w:rFonts w:ascii="Arial" w:hAnsi="Arial"/>
          <w:i w:val="0"/>
          <w:sz w:val="20"/>
        </w:rPr>
        <w:t>Điều 13.  Công nhận kết quả học tập và chuyển đổi tín chỉ (miễn học)</w:t>
      </w:r>
    </w:p>
    <w:p>
      <w:pPr>
        <w:pStyle w:val="Heading1"/>
        <w:spacing w:before="280" w:after="120"/>
      </w:pPr>
      <w:r>
        <w:rPr>
          <w:rFonts w:ascii="Times New Roman" w:hAnsi="Times New Roman"/>
          <w:b/>
          <w:color w:val="003366"/>
          <w:sz w:val="28"/>
        </w:rPr>
        <w:t>PHẦN 7: DANH MỤC GIÁO TRÌNH &amp; TÀI LIỆU THAM KHẢO CỐT LÕI THEO TỪNG KHOA (HCMUS LIBRARY COLLECTION)</w:t>
      </w:r>
    </w:p>
    <w:p>
      <w:pPr>
        <w:spacing w:after="80" w:line="276" w:lineRule="auto"/>
      </w:pPr>
      <w:r>
        <w:rPr>
          <w:rFonts w:ascii="Times New Roman" w:hAnsi="Times New Roman"/>
          <w:sz w:val="22"/>
        </w:rPr>
        <w:t>Thư viện Trường ĐH Khoa học Tự nhiên phân loại tài liệu theo hệ thống phân loại thập phân Dewey (DDC) và tổ chức kho sách chuyên ngành phục vụ 10 Khoa đào tạo. Dưới đây là bảng tra cứu mã DDC, mã định danh kho và tài liệu bắt buộc của các ngành:</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003366"/>
          </w:tcPr>
          <w:p>
            <w:r>
              <w:rPr>
                <w:rFonts w:ascii="Times New Roman" w:hAnsi="Times New Roman"/>
                <w:b/>
                <w:color w:val="FFFFFF"/>
              </w:rPr>
              <w:t>Khoa / Đơn vị</w:t>
            </w:r>
          </w:p>
        </w:tc>
        <w:tc>
          <w:tcPr>
            <w:tcW w:type="dxa" w:w="2880"/>
            <w:shd w:val="clear" w:color="auto" w:fill="003366"/>
          </w:tcPr>
          <w:p>
            <w:r>
              <w:rPr>
                <w:rFonts w:ascii="Times New Roman" w:hAnsi="Times New Roman"/>
                <w:b/>
                <w:color w:val="FFFFFF"/>
              </w:rPr>
              <w:t>Phân loại DDC</w:t>
            </w:r>
          </w:p>
        </w:tc>
        <w:tc>
          <w:tcPr>
            <w:tcW w:type="dxa" w:w="2880"/>
            <w:shd w:val="clear" w:color="auto" w:fill="003366"/>
          </w:tcPr>
          <w:p>
            <w:r>
              <w:rPr>
                <w:rFonts w:ascii="Times New Roman" w:hAnsi="Times New Roman"/>
                <w:b/>
                <w:color w:val="FFFFFF"/>
              </w:rPr>
              <w:t>Tài liệu &amp; Giáo trình Cốt lõi Tiêu biểu</w:t>
            </w:r>
          </w:p>
        </w:tc>
      </w:tr>
      <w:tr>
        <w:tc>
          <w:tcPr>
            <w:tcW w:type="dxa" w:w="2880"/>
            <w:shd w:val="clear" w:color="auto" w:fill="F4F6F9"/>
          </w:tcPr>
          <w:p>
            <w:r>
              <w:rPr>
                <w:rFonts w:ascii="Times New Roman" w:hAnsi="Times New Roman"/>
                <w:sz w:val="20"/>
              </w:rPr>
              <w:t>Khoa Công nghệ Thông tin</w:t>
            </w:r>
          </w:p>
        </w:tc>
        <w:tc>
          <w:tcPr>
            <w:tcW w:type="dxa" w:w="2880"/>
            <w:shd w:val="clear" w:color="auto" w:fill="FFFFFF"/>
          </w:tcPr>
          <w:p>
            <w:r>
              <w:rPr>
                <w:rFonts w:ascii="Times New Roman" w:hAnsi="Times New Roman"/>
                <w:sz w:val="20"/>
              </w:rPr>
              <w:t>004 - 006</w:t>
            </w:r>
          </w:p>
        </w:tc>
        <w:tc>
          <w:tcPr>
            <w:tcW w:type="dxa" w:w="2880"/>
            <w:shd w:val="clear" w:color="auto" w:fill="FFFFFF"/>
          </w:tcPr>
          <w:p>
            <w:r>
              <w:rPr>
                <w:rFonts w:ascii="Times New Roman" w:hAnsi="Times New Roman"/>
                <w:sz w:val="20"/>
              </w:rPr>
              <w:t>Kỹ thuật lập trình (C/C++), Cấu trúc dữ liệu &amp; Giải thuật, Mạng máy tính, Hệ điều hành, Cơ sở dữ liệu, Nhập môn AI, Học máy, Computer Systems: A Programmer's Perspective (R. Bryant), Introduction to Algorithms (CLRS), Artificial Intelligence: A Modern Approach (Russell &amp; Norvig), Database System Concepts (Silberschatz).</w:t>
            </w:r>
          </w:p>
        </w:tc>
      </w:tr>
      <w:tr>
        <w:tc>
          <w:tcPr>
            <w:tcW w:type="dxa" w:w="2880"/>
            <w:shd w:val="clear" w:color="auto" w:fill="F4F6F9"/>
          </w:tcPr>
          <w:p>
            <w:r>
              <w:rPr>
                <w:rFonts w:ascii="Times New Roman" w:hAnsi="Times New Roman"/>
                <w:sz w:val="20"/>
              </w:rPr>
              <w:t>Khoa Toán - Tin học</w:t>
            </w:r>
          </w:p>
        </w:tc>
        <w:tc>
          <w:tcPr>
            <w:tcW w:type="dxa" w:w="2880"/>
            <w:shd w:val="clear" w:color="auto" w:fill="FFFFFF"/>
          </w:tcPr>
          <w:p>
            <w:r>
              <w:rPr>
                <w:rFonts w:ascii="Times New Roman" w:hAnsi="Times New Roman"/>
                <w:sz w:val="20"/>
              </w:rPr>
              <w:t>510 - 519</w:t>
            </w:r>
          </w:p>
        </w:tc>
        <w:tc>
          <w:tcPr>
            <w:tcW w:type="dxa" w:w="2880"/>
            <w:shd w:val="clear" w:color="auto" w:fill="FFFFFF"/>
          </w:tcPr>
          <w:p>
            <w:r>
              <w:rPr>
                <w:rFonts w:ascii="Times New Roman" w:hAnsi="Times New Roman"/>
                <w:sz w:val="20"/>
              </w:rPr>
              <w:t>Giải tích 1, 2, 3 (Nguyễn Đình Trí / James Stewart Calculus), Đại số tuyến tính, Đại số đại cương, Phương trình vi phân, Xác suất thống kê (Nguyễn Cao Hào), Tối ưu hóa, Giải tích hàm, Topology, Cơ sở toán học cho Tin học.</w:t>
            </w:r>
          </w:p>
        </w:tc>
      </w:tr>
      <w:tr>
        <w:tc>
          <w:tcPr>
            <w:tcW w:type="dxa" w:w="2880"/>
            <w:shd w:val="clear" w:color="auto" w:fill="F4F6F9"/>
          </w:tcPr>
          <w:p>
            <w:r>
              <w:rPr>
                <w:rFonts w:ascii="Times New Roman" w:hAnsi="Times New Roman"/>
                <w:sz w:val="20"/>
              </w:rPr>
              <w:t>Khoa Vật lý - Vật lý Kỹ thuật</w:t>
            </w:r>
          </w:p>
        </w:tc>
        <w:tc>
          <w:tcPr>
            <w:tcW w:type="dxa" w:w="2880"/>
            <w:shd w:val="clear" w:color="auto" w:fill="FFFFFF"/>
          </w:tcPr>
          <w:p>
            <w:r>
              <w:rPr>
                <w:rFonts w:ascii="Times New Roman" w:hAnsi="Times New Roman"/>
                <w:sz w:val="20"/>
              </w:rPr>
              <w:t>530 - 539</w:t>
            </w:r>
          </w:p>
        </w:tc>
        <w:tc>
          <w:tcPr>
            <w:tcW w:type="dxa" w:w="2880"/>
            <w:shd w:val="clear" w:color="auto" w:fill="FFFFFF"/>
          </w:tcPr>
          <w:p>
            <w:r>
              <w:rPr>
                <w:rFonts w:ascii="Times New Roman" w:hAnsi="Times New Roman"/>
                <w:sz w:val="20"/>
              </w:rPr>
              <w:t>Vật lý đại cương 1 (Cơ - Nhiệt), Vật lý đại cương 2 (Điện - Từ), Vật lý đại cương 3 (Quang - Vật lý lượng tử) (David Halliday - Resnick), Cơ học lý thuyết, Điện động lực học, Vật lý hạt nhân, Vật lý chất rắn, Bán dẫn và Vi điện tử.</w:t>
            </w:r>
          </w:p>
        </w:tc>
      </w:tr>
      <w:tr>
        <w:tc>
          <w:tcPr>
            <w:tcW w:type="dxa" w:w="2880"/>
            <w:shd w:val="clear" w:color="auto" w:fill="F4F6F9"/>
          </w:tcPr>
          <w:p>
            <w:r>
              <w:rPr>
                <w:rFonts w:ascii="Times New Roman" w:hAnsi="Times New Roman"/>
                <w:sz w:val="20"/>
              </w:rPr>
              <w:t>Khoa Hóa học</w:t>
            </w:r>
          </w:p>
        </w:tc>
        <w:tc>
          <w:tcPr>
            <w:tcW w:type="dxa" w:w="2880"/>
            <w:shd w:val="clear" w:color="auto" w:fill="FFFFFF"/>
          </w:tcPr>
          <w:p>
            <w:r>
              <w:rPr>
                <w:rFonts w:ascii="Times New Roman" w:hAnsi="Times New Roman"/>
                <w:sz w:val="20"/>
              </w:rPr>
              <w:t>540 - 549</w:t>
            </w:r>
          </w:p>
        </w:tc>
        <w:tc>
          <w:tcPr>
            <w:tcW w:type="dxa" w:w="2880"/>
            <w:shd w:val="clear" w:color="auto" w:fill="FFFFFF"/>
          </w:tcPr>
          <w:p>
            <w:r>
              <w:rPr>
                <w:rFonts w:ascii="Times New Roman" w:hAnsi="Times New Roman"/>
                <w:sz w:val="20"/>
              </w:rPr>
              <w:t>Hóa đại cương, Hóa vô cơ 1 &amp; 2 (Hoàng Nhâm), Hóa hữu cơ 1, 2 &amp; 3 (Ngô Thị Thu Hương), Hóa phân tích &amp; Thực tập phân tích định lượng, Hóa lý 1 &amp; 2, Hóa dược phẩm, Hóa polyme và vật liệu mới, Chemistry (Raymond Chang).</w:t>
            </w:r>
          </w:p>
        </w:tc>
      </w:tr>
      <w:tr>
        <w:tc>
          <w:tcPr>
            <w:tcW w:type="dxa" w:w="2880"/>
            <w:shd w:val="clear" w:color="auto" w:fill="F4F6F9"/>
          </w:tcPr>
          <w:p>
            <w:r>
              <w:rPr>
                <w:rFonts w:ascii="Times New Roman" w:hAnsi="Times New Roman"/>
                <w:sz w:val="20"/>
              </w:rPr>
              <w:t>Khoa Sinh học - CNSH</w:t>
            </w:r>
          </w:p>
        </w:tc>
        <w:tc>
          <w:tcPr>
            <w:tcW w:type="dxa" w:w="2880"/>
            <w:shd w:val="clear" w:color="auto" w:fill="FFFFFF"/>
          </w:tcPr>
          <w:p>
            <w:r>
              <w:rPr>
                <w:rFonts w:ascii="Times New Roman" w:hAnsi="Times New Roman"/>
                <w:sz w:val="20"/>
              </w:rPr>
              <w:t>570 - 579</w:t>
            </w:r>
          </w:p>
        </w:tc>
        <w:tc>
          <w:tcPr>
            <w:tcW w:type="dxa" w:w="2880"/>
            <w:shd w:val="clear" w:color="auto" w:fill="FFFFFF"/>
          </w:tcPr>
          <w:p>
            <w:r>
              <w:rPr>
                <w:rFonts w:ascii="Times New Roman" w:hAnsi="Times New Roman"/>
                <w:sz w:val="20"/>
              </w:rPr>
              <w:t>Sinh học tế bào, Sinh lý thực vật, Sinh lý động vật, Di truyền học đại cương &amp; phân tử (Campbell Biology), Vi sinh vật học đại cương, Hóa sinh học, Công nghệ DNA tái tổ hợp, Kỹ thuật nuôi cấy mô tế bào, Miễn dịch học.</w:t>
            </w:r>
          </w:p>
        </w:tc>
      </w:tr>
      <w:tr>
        <w:tc>
          <w:tcPr>
            <w:tcW w:type="dxa" w:w="2880"/>
            <w:shd w:val="clear" w:color="auto" w:fill="F4F6F9"/>
          </w:tcPr>
          <w:p>
            <w:r>
              <w:rPr>
                <w:rFonts w:ascii="Times New Roman" w:hAnsi="Times New Roman"/>
                <w:sz w:val="20"/>
              </w:rPr>
              <w:t>Khoa Môi trường</w:t>
            </w:r>
          </w:p>
        </w:tc>
        <w:tc>
          <w:tcPr>
            <w:tcW w:type="dxa" w:w="2880"/>
            <w:shd w:val="clear" w:color="auto" w:fill="FFFFFF"/>
          </w:tcPr>
          <w:p>
            <w:r>
              <w:rPr>
                <w:rFonts w:ascii="Times New Roman" w:hAnsi="Times New Roman"/>
                <w:sz w:val="20"/>
              </w:rPr>
              <w:t>577, 628</w:t>
            </w:r>
          </w:p>
        </w:tc>
        <w:tc>
          <w:tcPr>
            <w:tcW w:type="dxa" w:w="2880"/>
            <w:shd w:val="clear" w:color="auto" w:fill="FFFFFF"/>
          </w:tcPr>
          <w:p>
            <w:r>
              <w:rPr>
                <w:rFonts w:ascii="Times New Roman" w:hAnsi="Times New Roman"/>
                <w:sz w:val="20"/>
              </w:rPr>
              <w:t>Khoa học môi trường đại cương, Độc học môi trường, Kỹ thuật xử lý nước cấp và nước thải, Quản lý chất thải rắn và chất thải nguy hại, Ô nhiễm không khí và tiếng ồn, Đánh giá tác động môi trường (ĐTM/EIA), GIS ứng dụng trong môi trường.</w:t>
            </w:r>
          </w:p>
        </w:tc>
      </w:tr>
      <w:tr>
        <w:tc>
          <w:tcPr>
            <w:tcW w:type="dxa" w:w="2880"/>
            <w:shd w:val="clear" w:color="auto" w:fill="F4F6F9"/>
          </w:tcPr>
          <w:p>
            <w:r>
              <w:rPr>
                <w:rFonts w:ascii="Times New Roman" w:hAnsi="Times New Roman"/>
                <w:sz w:val="20"/>
              </w:rPr>
              <w:t>Khoa Địa chất</w:t>
            </w:r>
          </w:p>
        </w:tc>
        <w:tc>
          <w:tcPr>
            <w:tcW w:type="dxa" w:w="2880"/>
            <w:shd w:val="clear" w:color="auto" w:fill="FFFFFF"/>
          </w:tcPr>
          <w:p>
            <w:r>
              <w:rPr>
                <w:rFonts w:ascii="Times New Roman" w:hAnsi="Times New Roman"/>
                <w:sz w:val="20"/>
              </w:rPr>
              <w:t>550 - 559</w:t>
            </w:r>
          </w:p>
        </w:tc>
        <w:tc>
          <w:tcPr>
            <w:tcW w:type="dxa" w:w="2880"/>
            <w:shd w:val="clear" w:color="auto" w:fill="FFFFFF"/>
          </w:tcPr>
          <w:p>
            <w:r>
              <w:rPr>
                <w:rFonts w:ascii="Times New Roman" w:hAnsi="Times New Roman"/>
                <w:sz w:val="20"/>
              </w:rPr>
              <w:t>Địa chất đại cương, Tinh thể khoáng vật học, Thạch học magma - trầm tích - biến chất, Địa chất cấu tạo và kiến tạo mảng, Địa chất thủy văn và Địa chất công trình, Địa vật lý thăm dò, Viễn thám địa chất.</w:t>
            </w:r>
          </w:p>
        </w:tc>
      </w:tr>
      <w:tr>
        <w:tc>
          <w:tcPr>
            <w:tcW w:type="dxa" w:w="2880"/>
            <w:shd w:val="clear" w:color="auto" w:fill="F4F6F9"/>
          </w:tcPr>
          <w:p>
            <w:r>
              <w:rPr>
                <w:rFonts w:ascii="Times New Roman" w:hAnsi="Times New Roman"/>
                <w:sz w:val="20"/>
              </w:rPr>
              <w:t>Khoa Khoa học &amp; Công nghệ Vật liệu</w:t>
            </w:r>
          </w:p>
        </w:tc>
        <w:tc>
          <w:tcPr>
            <w:tcW w:type="dxa" w:w="2880"/>
            <w:shd w:val="clear" w:color="auto" w:fill="FFFFFF"/>
          </w:tcPr>
          <w:p>
            <w:r>
              <w:rPr>
                <w:rFonts w:ascii="Times New Roman" w:hAnsi="Times New Roman"/>
                <w:sz w:val="20"/>
              </w:rPr>
              <w:t>620.1</w:t>
            </w:r>
          </w:p>
        </w:tc>
        <w:tc>
          <w:tcPr>
            <w:tcW w:type="dxa" w:w="2880"/>
            <w:shd w:val="clear" w:color="auto" w:fill="FFFFFF"/>
          </w:tcPr>
          <w:p>
            <w:r>
              <w:rPr>
                <w:rFonts w:ascii="Times New Roman" w:hAnsi="Times New Roman"/>
                <w:sz w:val="20"/>
              </w:rPr>
              <w:t>Khoa học vật liệu đại cương (Callister's Materials Science and Engineering), Vật liệu bán dẫn, Vật liệu nano và công nghệ nano, Phương pháp phân tích đặc trưng vật liệu (XRD, SEM, TEM, AFM, FTIR, UV-Vis), Vật liệu polyme và composite.</w:t>
            </w:r>
          </w:p>
        </w:tc>
      </w:tr>
      <w:tr>
        <w:tc>
          <w:tcPr>
            <w:tcW w:type="dxa" w:w="2880"/>
            <w:shd w:val="clear" w:color="auto" w:fill="F4F6F9"/>
          </w:tcPr>
          <w:p>
            <w:r>
              <w:rPr>
                <w:rFonts w:ascii="Times New Roman" w:hAnsi="Times New Roman"/>
                <w:sz w:val="20"/>
              </w:rPr>
              <w:t>Khoa Điện tử - Viễn thông</w:t>
            </w:r>
          </w:p>
        </w:tc>
        <w:tc>
          <w:tcPr>
            <w:tcW w:type="dxa" w:w="2880"/>
            <w:shd w:val="clear" w:color="auto" w:fill="FFFFFF"/>
          </w:tcPr>
          <w:p>
            <w:r>
              <w:rPr>
                <w:rFonts w:ascii="Times New Roman" w:hAnsi="Times New Roman"/>
                <w:sz w:val="20"/>
              </w:rPr>
              <w:t>621.38</w:t>
            </w:r>
          </w:p>
        </w:tc>
        <w:tc>
          <w:tcPr>
            <w:tcW w:type="dxa" w:w="2880"/>
            <w:shd w:val="clear" w:color="auto" w:fill="FFFFFF"/>
          </w:tcPr>
          <w:p>
            <w:r>
              <w:rPr>
                <w:rFonts w:ascii="Times New Roman" w:hAnsi="Times New Roman"/>
                <w:sz w:val="20"/>
              </w:rPr>
              <w:t>Kỹ thuật mạch điện tử 1 &amp; 2, Thiết kế mạch số và ngôn ngữ HDL/Verilog, Vi xử lý và Vi điều khiển (ARM/AVR/PIC), Xử lý tín hiệu số (DSP - Oppenheim), Hệ thống nhúng (Embedded Systems), Thông tin vô tuyến và Ăng-ten.</w:t>
            </w:r>
          </w:p>
        </w:tc>
      </w:tr>
      <w:tr>
        <w:tc>
          <w:tcPr>
            <w:tcW w:type="dxa" w:w="2880"/>
            <w:shd w:val="clear" w:color="auto" w:fill="F4F6F9"/>
          </w:tcPr>
          <w:p>
            <w:r>
              <w:rPr>
                <w:rFonts w:ascii="Times New Roman" w:hAnsi="Times New Roman"/>
                <w:sz w:val="20"/>
              </w:rPr>
              <w:t>Bộ môn Khoa học Dữ liệu &amp; TTNT</w:t>
            </w:r>
          </w:p>
        </w:tc>
        <w:tc>
          <w:tcPr>
            <w:tcW w:type="dxa" w:w="2880"/>
            <w:shd w:val="clear" w:color="auto" w:fill="FFFFFF"/>
          </w:tcPr>
          <w:p>
            <w:r>
              <w:rPr>
                <w:rFonts w:ascii="Times New Roman" w:hAnsi="Times New Roman"/>
                <w:sz w:val="20"/>
              </w:rPr>
              <w:t>006.3</w:t>
            </w:r>
          </w:p>
        </w:tc>
        <w:tc>
          <w:tcPr>
            <w:tcW w:type="dxa" w:w="2880"/>
            <w:shd w:val="clear" w:color="auto" w:fill="FFFFFF"/>
          </w:tcPr>
          <w:p>
            <w:r>
              <w:rPr>
                <w:rFonts w:ascii="Times New Roman" w:hAnsi="Times New Roman"/>
                <w:sz w:val="20"/>
              </w:rPr>
              <w:t>Deep Learning (Ian Goodfellow), Pattern Recognition and Machine Learning (Bishop), Tối ưu hóa cho Khoa học dữ liệu, Phân tích dữ liệu lớn (Big Data with Spark/Hadoop), Khai phá dữ liệu (Data Mining - Tan, Steinbach).</w:t>
            </w:r>
          </w:p>
        </w:tc>
      </w:tr>
    </w:tbl>
    <w:p>
      <w:pPr>
        <w:pStyle w:val="Heading1"/>
        <w:spacing w:before="280" w:after="120"/>
      </w:pPr>
      <w:r>
        <w:rPr>
          <w:rFonts w:ascii="Times New Roman" w:hAnsi="Times New Roman"/>
          <w:b/>
          <w:color w:val="003366"/>
          <w:sz w:val="28"/>
        </w:rPr>
        <w:t>PHẦN 8: HƯỚNG DẪN TRÍCH DẪN HỌC THUẬT CHUẨN IEEE &amp; APA 7TH, CHỐNG ĐẠO VĂN (ACADEMIC INTEGRITY)</w:t>
      </w:r>
    </w:p>
    <w:p>
      <w:pPr>
        <w:spacing w:after="80" w:line="276" w:lineRule="auto"/>
      </w:pPr>
      <w:r>
        <w:rPr>
          <w:rFonts w:ascii="Times New Roman" w:hAnsi="Times New Roman"/>
          <w:sz w:val="22"/>
        </w:rPr>
        <w:t>Trường ĐH Khoa học Tự nhiên ĐHQG-HCM đặt tiêu chuẩn cao nhất về liêm chính học thuật đối với niên luận, khóa luận tốt nghiệp cử nhân, luận văn thạc sĩ và luận án tiến sĩ. Bất kỳ hành vi gian lận hoặc sao chép ý tưởng không trích dẫn nguồn đều bị xử lý kỷ luật theo Quy chế công tác sinh viên.</w:t>
      </w:r>
    </w:p>
    <w:p>
      <w:pPr>
        <w:pStyle w:val="Heading2"/>
        <w:spacing w:before="200" w:after="80"/>
      </w:pPr>
      <w:r>
        <w:rPr>
          <w:rFonts w:ascii="Times New Roman" w:hAnsi="Times New Roman"/>
          <w:b/>
          <w:color w:val="1B365D"/>
          <w:sz w:val="24"/>
        </w:rPr>
        <w:t>8.1. Hướng dẫn Trích dẫn Chuẩn IEEE (Dành cho Khối CNTT, Điện tử, Vật lý Kỹ thuật, Khoa học Vật liệu)</w:t>
      </w:r>
    </w:p>
    <w:p>
      <w:pPr>
        <w:spacing w:after="80" w:line="276" w:lineRule="auto"/>
      </w:pPr>
      <w:r>
        <w:rPr>
          <w:rFonts w:ascii="Times New Roman" w:hAnsi="Times New Roman"/>
          <w:sz w:val="22"/>
        </w:rPr>
        <w:t>Chuẩn IEEE sử dụng hệ thống số thứ tự trong dấu ngoặc vuông `[1]`, `[2]`, `[3]` xuất hiện lần lượt theo thứ tự trích dẫn trong văn bản. Không sử dụng trích dẫn theo kiểu (Tên tác giả, Năm) trong chuẩn IEEE.</w:t>
      </w:r>
    </w:p>
    <w:p>
      <w:pPr>
        <w:spacing w:after="80" w:line="276" w:lineRule="auto"/>
      </w:pPr>
      <w:r>
        <w:rPr>
          <w:rFonts w:ascii="Times New Roman" w:hAnsi="Times New Roman"/>
          <w:b/>
          <w:color w:val="003366"/>
          <w:sz w:val="22"/>
        </w:rPr>
        <w:t xml:space="preserve">• Bài báo tạp chí (Journal Article): </w:t>
      </w:r>
      <w:r>
        <w:rPr>
          <w:rFonts w:ascii="Times New Roman" w:hAnsi="Times New Roman"/>
          <w:sz w:val="22"/>
        </w:rPr>
        <w:t>Quy tắc định dạng danh mục tài liệu tham khảo theo IEEE:</w:t>
      </w:r>
    </w:p>
    <w:p>
      <w:pPr>
        <w:spacing w:after="80" w:line="276" w:lineRule="auto"/>
      </w:pPr>
      <w:r>
        <w:rPr>
          <w:rFonts w:ascii="Times New Roman" w:hAnsi="Times New Roman"/>
          <w:sz w:val="22"/>
        </w:rPr>
        <w:t>[1] J. K. Author, "Title of paper," Title of Periodical/Journal, vol. x, no. x, pp. xxx-xxx, Month, Year, doi: 10.1109.xxx.</w:t>
      </w:r>
    </w:p>
    <w:p>
      <w:pPr>
        <w:spacing w:after="80" w:line="276" w:lineRule="auto"/>
      </w:pPr>
      <w:r>
        <w:rPr>
          <w:rFonts w:ascii="Times New Roman" w:hAnsi="Times New Roman"/>
          <w:sz w:val="22"/>
        </w:rPr>
        <w:t>Ví dụ: [1] Y. LeCun, Y. Bengio, and G. Hinton, "Deep learning," Nature, vol. 521, no. 7553, pp. 436-444, May 2015, doi: 10.1038/nature14539.</w:t>
      </w:r>
    </w:p>
    <w:p>
      <w:pPr>
        <w:spacing w:after="80" w:line="276" w:lineRule="auto"/>
      </w:pPr>
      <w:r>
        <w:rPr>
          <w:rFonts w:ascii="Times New Roman" w:hAnsi="Times New Roman"/>
          <w:b/>
          <w:color w:val="003366"/>
          <w:sz w:val="22"/>
        </w:rPr>
        <w:t xml:space="preserve">• Kỷ yếu hội nghị (Conference): </w:t>
      </w:r>
      <w:r>
        <w:rPr>
          <w:rFonts w:ascii="Times New Roman" w:hAnsi="Times New Roman"/>
          <w:sz w:val="22"/>
        </w:rPr>
        <w:t>Quy tắc định dạng kỷ yếu hội nghị (Conference Proceedings):</w:t>
      </w:r>
    </w:p>
    <w:p>
      <w:pPr>
        <w:spacing w:after="80" w:line="276" w:lineRule="auto"/>
      </w:pPr>
      <w:r>
        <w:rPr>
          <w:rFonts w:ascii="Times New Roman" w:hAnsi="Times New Roman"/>
          <w:sz w:val="22"/>
        </w:rPr>
        <w:t>[2] A. Vaswani, N. Shazeer, N. Parmar, et al., "Attention is all you need," in Advances in Neural Information Processing Systems (NeurIPS 2017), Long Beach, CA, USA, 2017, pp. 5998-6008.</w:t>
      </w:r>
    </w:p>
    <w:p>
      <w:pPr>
        <w:spacing w:after="80" w:line="276" w:lineRule="auto"/>
      </w:pPr>
      <w:r>
        <w:rPr>
          <w:rFonts w:ascii="Times New Roman" w:hAnsi="Times New Roman"/>
          <w:b/>
          <w:color w:val="003366"/>
          <w:sz w:val="22"/>
        </w:rPr>
        <w:t xml:space="preserve">• Sách (Book): </w:t>
      </w:r>
      <w:r>
        <w:rPr>
          <w:rFonts w:ascii="Times New Roman" w:hAnsi="Times New Roman"/>
          <w:sz w:val="22"/>
        </w:rPr>
        <w:t>Quy tắc định dạng sách chuyên khảo (Book):</w:t>
      </w:r>
    </w:p>
    <w:p>
      <w:pPr>
        <w:spacing w:after="80" w:line="276" w:lineRule="auto"/>
      </w:pPr>
      <w:r>
        <w:rPr>
          <w:rFonts w:ascii="Times New Roman" w:hAnsi="Times New Roman"/>
          <w:sz w:val="22"/>
        </w:rPr>
        <w:t>[3] R. S. Sutton and A. G. Barto, Reinforcement Learning: An Introduction, 2nd ed. Cambridge, MA, USA: MIT Press, 2018.</w:t>
      </w:r>
    </w:p>
    <w:p>
      <w:pPr>
        <w:pStyle w:val="Heading2"/>
        <w:spacing w:before="200" w:after="80"/>
      </w:pPr>
      <w:r>
        <w:rPr>
          <w:rFonts w:ascii="Times New Roman" w:hAnsi="Times New Roman"/>
          <w:b/>
          <w:color w:val="1B365D"/>
          <w:sz w:val="24"/>
        </w:rPr>
        <w:t>8.2. Hướng dẫn Trích dẫn Chuẩn APA 7th Edition (Dành cho Khối Sinh học, Hóa học, Môi trường, Địa chất)</w:t>
      </w:r>
    </w:p>
    <w:p>
      <w:pPr>
        <w:spacing w:after="80" w:line="276" w:lineRule="auto"/>
      </w:pPr>
      <w:r>
        <w:rPr>
          <w:rFonts w:ascii="Times New Roman" w:hAnsi="Times New Roman"/>
          <w:sz w:val="22"/>
        </w:rPr>
        <w:t>Chuẩn APA (American Psychological Association) 7th Edition sử dụng hệ thống Tác giả - Năm xuất bản (Author-Date) trong văn bản chính, ví dụ: (Nguyen et al., 2024) hoặc Nguyen and Tran (2023). Danh mục tài liệu tham khảo ở cuối bài được sắp xếp theo thứ tự bảng chữ cái ABC của tên tác giả đầu tiên.</w:t>
      </w:r>
    </w:p>
    <w:p>
      <w:pPr>
        <w:spacing w:after="80" w:line="276" w:lineRule="auto"/>
      </w:pPr>
      <w:r>
        <w:rPr>
          <w:rFonts w:ascii="Times New Roman" w:hAnsi="Times New Roman"/>
          <w:b/>
          <w:color w:val="003366"/>
          <w:sz w:val="22"/>
        </w:rPr>
        <w:t xml:space="preserve">• Bài báo khoa học: </w:t>
      </w:r>
      <w:r>
        <w:rPr>
          <w:rFonts w:ascii="Times New Roman" w:hAnsi="Times New Roman"/>
          <w:sz w:val="22"/>
        </w:rPr>
        <w:t>Quy tắc trích dẫn APA 7th:</w:t>
      </w:r>
    </w:p>
    <w:p>
      <w:pPr>
        <w:spacing w:after="80" w:line="276" w:lineRule="auto"/>
      </w:pPr>
      <w:r>
        <w:rPr>
          <w:rFonts w:ascii="Times New Roman" w:hAnsi="Times New Roman"/>
          <w:sz w:val="22"/>
        </w:rPr>
        <w:t>Author, A. A., Author, B. B., &amp; Author, C. C. (Year). Title of article. Title of Periodical, Volume(Issue), Pages. https://doi.org/xxxx</w:t>
      </w:r>
    </w:p>
    <w:p>
      <w:pPr>
        <w:spacing w:after="80" w:line="276" w:lineRule="auto"/>
      </w:pPr>
      <w:r>
        <w:rPr>
          <w:rFonts w:ascii="Times New Roman" w:hAnsi="Times New Roman"/>
          <w:sz w:val="22"/>
        </w:rPr>
        <w:t>Ví dụ: Tran, V. H., Le, T. M., &amp; Nguyen, D. P. (2023). Heavy metal bioaccumulation in mangrove ecosystems of Can Gio, Vietnam. Environmental Pollution, 312, 120015. https://doi.org/10.1016/j.envpol.2023.120015</w:t>
      </w:r>
    </w:p>
    <w:p>
      <w:pPr>
        <w:pStyle w:val="Heading2"/>
        <w:spacing w:before="200" w:after="80"/>
      </w:pPr>
      <w:r>
        <w:rPr>
          <w:rFonts w:ascii="Times New Roman" w:hAnsi="Times New Roman"/>
          <w:b/>
          <w:color w:val="1B365D"/>
          <w:sz w:val="24"/>
        </w:rPr>
        <w:t>8.3. Quy trình Kiểm tra Đạo văn bằng Turnitin tại HCMUS</w:t>
      </w:r>
    </w:p>
    <w:p>
      <w:pPr>
        <w:spacing w:after="80" w:line="276" w:lineRule="auto"/>
      </w:pPr>
      <w:r>
        <w:rPr>
          <w:rFonts w:ascii="Times New Roman" w:hAnsi="Times New Roman"/>
          <w:sz w:val="22"/>
        </w:rPr>
        <w:t>1. Đối tượng bắt buộc: 100% Khóa luận tốt nghiệp cử nhân, Luận văn thạc sĩ, Luận án tiến sĩ, và các đề tài NCKH sinh viên cấp Trường, cấp ĐHQG, Giải thưởng Eureka.</w:t>
      </w:r>
    </w:p>
    <w:p>
      <w:pPr>
        <w:spacing w:after="80" w:line="276" w:lineRule="auto"/>
      </w:pPr>
      <w:r>
        <w:rPr>
          <w:rFonts w:ascii="Times New Roman" w:hAnsi="Times New Roman"/>
          <w:sz w:val="22"/>
        </w:rPr>
        <w:t>2. Ngưỡng tương đồng (Similarity Index):</w:t>
      </w:r>
    </w:p>
    <w:p>
      <w:pPr>
        <w:spacing w:after="80" w:line="276" w:lineRule="auto"/>
      </w:pPr>
      <w:r>
        <w:rPr>
          <w:rFonts w:ascii="Times New Roman" w:hAnsi="Times New Roman"/>
          <w:sz w:val="22"/>
        </w:rPr>
        <w:t>• Tổng tỷ lệ trùng lặp cho phép tối đa: ≤ 20% (hoặc ≤ 25% tùy theo hội đồng khoa học từng Khoa quy định cụ thể).</w:t>
      </w:r>
    </w:p>
    <w:p>
      <w:pPr>
        <w:spacing w:after="80" w:line="276" w:lineRule="auto"/>
      </w:pPr>
      <w:r>
        <w:rPr>
          <w:rFonts w:ascii="Times New Roman" w:hAnsi="Times New Roman"/>
          <w:sz w:val="22"/>
        </w:rPr>
        <w:t>• Trùng lặp từ một nguồn duy nhất không được vượt quá 5%.</w:t>
      </w:r>
    </w:p>
    <w:p>
      <w:pPr>
        <w:spacing w:after="80" w:line="276" w:lineRule="auto"/>
      </w:pPr>
      <w:r>
        <w:rPr>
          <w:rFonts w:ascii="Times New Roman" w:hAnsi="Times New Roman"/>
          <w:sz w:val="22"/>
        </w:rPr>
        <w:t>• Bộ lọc Turnitin được phép loại trừ: Tài liệu tham khảo (Exclude Bibliography), trích dẫn nguyên văn trong ngoặc kép (Exclude Quotes), và các chuỗi từ trùng lặp dưới 8-10 từ (Exclude matches &lt; 8 words).</w:t>
      </w:r>
    </w:p>
    <w:p>
      <w:pPr>
        <w:spacing w:after="80" w:line="276" w:lineRule="auto"/>
      </w:pPr>
      <w:r>
        <w:rPr>
          <w:rFonts w:ascii="Times New Roman" w:hAnsi="Times New Roman"/>
          <w:sz w:val="22"/>
        </w:rPr>
        <w:t>3. Cấp tài khoản Turnitin: Học viên cao học và sinh viên làm khóa luận được Khoa hoặc Thư viện cấp tài khoản Turnitin thông qua giảng viên hướng dẫn (Supervisor) để tự kiểm tra bản thảo trước khi nộp bản chính thức.</w:t>
      </w:r>
    </w:p>
    <w:p>
      <w:pPr>
        <w:pStyle w:val="Heading1"/>
        <w:spacing w:before="280" w:after="120"/>
      </w:pPr>
      <w:r>
        <w:rPr>
          <w:rFonts w:ascii="Times New Roman" w:hAnsi="Times New Roman"/>
          <w:b/>
          <w:color w:val="003366"/>
          <w:sz w:val="28"/>
        </w:rPr>
        <w:t>PHẦN 9: CHI TIẾT ĐĂNG KÝ VÀ KHAI THÁC TÀI NGUYÊN ĐIỆN TỬ LIÊN CHI NHÁNH ĐHQG-HCM &amp; QUỐC TẾ</w:t>
      </w:r>
    </w:p>
    <w:p>
      <w:pPr>
        <w:spacing w:after="80" w:line="276" w:lineRule="auto"/>
      </w:pPr>
      <w:r>
        <w:rPr>
          <w:rFonts w:ascii="Times New Roman" w:hAnsi="Times New Roman"/>
          <w:sz w:val="22"/>
        </w:rPr>
        <w:t>Hệ thống Thư viện ĐHQG-HCM (VNU-HCM Library System) bao gồm Thư viện Trung tâm và các thư viện thành viên (HCMUS, HCMUT, HCMUSSH, UIT, UEL, Khoa Y...). Sinh viên HCMUS sở hữu đặc quyền truy cập kho học liệu số quy mô lớn nhất Việt Nam:</w:t>
      </w:r>
    </w:p>
    <w:p>
      <w:pPr>
        <w:spacing w:after="80" w:line="276" w:lineRule="auto"/>
      </w:pPr>
      <w:r>
        <w:rPr>
          <w:rFonts w:ascii="Times New Roman" w:hAnsi="Times New Roman"/>
          <w:b/>
          <w:color w:val="003366"/>
          <w:sz w:val="22"/>
        </w:rPr>
        <w:t xml:space="preserve">1. IEEE Xplore: </w:t>
      </w:r>
      <w:r>
        <w:rPr>
          <w:rFonts w:ascii="Times New Roman" w:hAnsi="Times New Roman"/>
          <w:sz w:val="22"/>
        </w:rPr>
        <w:t>Cơ sở dữ liệu IEEE Xplore Digital Library:</w:t>
      </w:r>
    </w:p>
    <w:p>
      <w:pPr>
        <w:spacing w:after="80" w:line="276" w:lineRule="auto"/>
      </w:pPr>
      <w:r>
        <w:rPr>
          <w:rFonts w:ascii="Times New Roman" w:hAnsi="Times New Roman"/>
          <w:sz w:val="22"/>
        </w:rPr>
        <w:t>Kho tài nguyên đồ sộ gồm hơn 5 triệu tài liệu kỹ thuật, tiêu chuẩn công nghệ, bài báo tạp chí (IEEE Transactions) và hội nghị quốc tế uy tín hàng đầu thế giới về điện tử, viễn thông, khoa học máy tính, trí tuệ nhân tạo, tự động hóa.</w:t>
      </w:r>
    </w:p>
    <w:p>
      <w:pPr>
        <w:spacing w:after="80" w:line="276" w:lineRule="auto"/>
      </w:pPr>
      <w:r>
        <w:rPr>
          <w:rFonts w:ascii="Times New Roman" w:hAnsi="Times New Roman"/>
          <w:b/>
          <w:color w:val="003366"/>
          <w:sz w:val="22"/>
        </w:rPr>
        <w:t xml:space="preserve">2. ScienceDirect: </w:t>
      </w:r>
      <w:r>
        <w:rPr>
          <w:rFonts w:ascii="Times New Roman" w:hAnsi="Times New Roman"/>
          <w:sz w:val="22"/>
        </w:rPr>
        <w:t>Cơ sở dữ liệu ScienceDirect (Elsevier):</w:t>
      </w:r>
    </w:p>
    <w:p>
      <w:pPr>
        <w:spacing w:after="80" w:line="276" w:lineRule="auto"/>
      </w:pPr>
      <w:r>
        <w:rPr>
          <w:rFonts w:ascii="Times New Roman" w:hAnsi="Times New Roman"/>
          <w:sz w:val="22"/>
        </w:rPr>
        <w:t>Bao gồm hơn 2.500 tạp chí bình duyệt và hàng chục nghìn đầu sách khoa học thuộc các lĩnh vực Hóa học, Khoa học Vật liệu, Khoa học Môi trường, Năng lượng, Y sinh, Toán học.</w:t>
      </w:r>
    </w:p>
    <w:p>
      <w:pPr>
        <w:spacing w:after="80" w:line="276" w:lineRule="auto"/>
      </w:pPr>
      <w:r>
        <w:rPr>
          <w:rFonts w:ascii="Times New Roman" w:hAnsi="Times New Roman"/>
          <w:b/>
          <w:color w:val="003366"/>
          <w:sz w:val="22"/>
        </w:rPr>
        <w:t xml:space="preserve">3. SpringerLink &amp; Wiley: </w:t>
      </w:r>
      <w:r>
        <w:rPr>
          <w:rFonts w:ascii="Times New Roman" w:hAnsi="Times New Roman"/>
          <w:sz w:val="22"/>
        </w:rPr>
        <w:t>Cơ sở dữ liệu SpringerLink &amp; Wiley Online Library:</w:t>
      </w:r>
    </w:p>
    <w:p>
      <w:pPr>
        <w:spacing w:after="80" w:line="276" w:lineRule="auto"/>
      </w:pPr>
      <w:r>
        <w:rPr>
          <w:rFonts w:ascii="Times New Roman" w:hAnsi="Times New Roman"/>
          <w:sz w:val="22"/>
        </w:rPr>
        <w:t>Nguồn sách điện tử (e-books) và bài báo nghiên cứu chuẩn mực cho các ngành Toán học lý thuyết, Toán ứng dụng, Vật lý lý thuyết và Vật lý thực nghiệm.</w:t>
      </w:r>
    </w:p>
    <w:p>
      <w:pPr>
        <w:spacing w:after="80" w:line="276" w:lineRule="auto"/>
      </w:pPr>
      <w:r>
        <w:rPr>
          <w:rFonts w:ascii="Times New Roman" w:hAnsi="Times New Roman"/>
          <w:b/>
          <w:color w:val="003366"/>
          <w:sz w:val="22"/>
        </w:rPr>
        <w:t xml:space="preserve">4. DSpace Repository: </w:t>
      </w:r>
      <w:r>
        <w:rPr>
          <w:rFonts w:ascii="Times New Roman" w:hAnsi="Times New Roman"/>
          <w:sz w:val="22"/>
        </w:rPr>
        <w:t>Thư viện số Luận án - Luận văn ĐHQG-HCM (DSpace Repository):</w:t>
      </w:r>
    </w:p>
    <w:p>
      <w:pPr>
        <w:spacing w:after="80" w:line="276" w:lineRule="auto"/>
      </w:pPr>
      <w:r>
        <w:rPr>
          <w:rFonts w:ascii="Times New Roman" w:hAnsi="Times New Roman"/>
          <w:sz w:val="22"/>
        </w:rPr>
        <w:t>Lưu trữ hơn 50.000 luận án tiến sĩ, luận văn thạc sĩ và khóa luận cử nhân xuất sắc của tất cả các trường thành viên thuộc ĐHQG-HCM. Sinh viên tra cứu toàn văn để tham khảo cấu trúc nghiên cứu, phương pháp luận và số liệu tiền lệ.</w:t>
      </w:r>
    </w:p>
    <w:p>
      <w:pPr>
        <w:spacing w:after="80" w:line="276" w:lineRule="auto"/>
      </w:pPr>
      <w:r>
        <w:rPr>
          <w:rFonts w:ascii="Times New Roman" w:hAnsi="Times New Roman"/>
          <w:b/>
          <w:color w:val="003366"/>
          <w:sz w:val="22"/>
        </w:rPr>
        <w:t xml:space="preserve">5. Truy cập từ xa (Off-campus Access): </w:t>
      </w:r>
      <w:r>
        <w:rPr>
          <w:rFonts w:ascii="Times New Roman" w:hAnsi="Times New Roman"/>
          <w:sz w:val="22"/>
        </w:rPr>
        <w:t>Quy trình xác thực VPN ĐHQG-HCM để tải tài nguyên ngoài khuôn viên trường:</w:t>
      </w:r>
    </w:p>
    <w:p>
      <w:pPr>
        <w:spacing w:after="80" w:line="276" w:lineRule="auto"/>
      </w:pPr>
      <w:r>
        <w:rPr>
          <w:rFonts w:ascii="Times New Roman" w:hAnsi="Times New Roman"/>
          <w:sz w:val="22"/>
        </w:rPr>
        <w:t>Sinh viên không cần có mặt trực tiếp tại trường vẫn có thể tải full-text bài báo bằng cách kết nối qua máy chủ Proxy/OpenVPN do Trung tâm Thư viện ĐHQG-HCM cung cấp. Hướng dẫn cài đặt OpenVPN Client trên Windows/macOS: Tải profile vpn.vnuhcm.edu.vn, đăng nhập bằng email sinh viên @student.hcmus.edu.vn.</w:t>
      </w:r>
    </w:p>
    <w:p>
      <w:pPr>
        <w:pStyle w:val="Heading1"/>
        <w:spacing w:before="280" w:after="120"/>
      </w:pPr>
      <w:r>
        <w:rPr>
          <w:rFonts w:ascii="Times New Roman" w:hAnsi="Times New Roman"/>
          <w:b/>
          <w:color w:val="003366"/>
          <w:sz w:val="28"/>
        </w:rPr>
        <w:t>PHẦN 10: QUY CHUẨN HÌNH THỨC TRÌNH BÀY KHÓA LUẬN TỐT NGHIỆP CỬ NHÂN HCMUS</w:t>
      </w:r>
    </w:p>
    <w:p>
      <w:pPr>
        <w:spacing w:after="80" w:line="276" w:lineRule="auto"/>
      </w:pPr>
      <w:r>
        <w:rPr>
          <w:rFonts w:ascii="Times New Roman" w:hAnsi="Times New Roman"/>
          <w:sz w:val="22"/>
        </w:rPr>
        <w:t>Nhằm thống nhất tính chuyên nghiệp và chuẩn mực lưu trữ số tại Thư viện trường, tất cả sinh viên làm Khóa luận Tốt nghiệp (KLTN) hoặc Tiểu luận chuyên ngành bắt buộc tuân thủ chặt chẽ các thông số kỹ thuật sau:</w:t>
      </w:r>
    </w:p>
    <w:p>
      <w:pPr>
        <w:spacing w:after="80" w:line="276" w:lineRule="auto"/>
      </w:pPr>
      <w:r>
        <w:rPr>
          <w:rFonts w:ascii="Times New Roman" w:hAnsi="Times New Roman"/>
          <w:b/>
          <w:color w:val="003366"/>
          <w:sz w:val="22"/>
        </w:rPr>
        <w:t xml:space="preserve">1. Định dạng trang in: </w:t>
      </w:r>
      <w:r>
        <w:rPr>
          <w:rFonts w:ascii="Times New Roman" w:hAnsi="Times New Roman"/>
          <w:sz w:val="22"/>
        </w:rPr>
        <w:t>Quy cách khổ giấy và canh lề trang (Page Setup):</w:t>
      </w:r>
    </w:p>
    <w:p>
      <w:pPr>
        <w:spacing w:after="80" w:line="276" w:lineRule="auto"/>
      </w:pPr>
      <w:r>
        <w:rPr>
          <w:rFonts w:ascii="Times New Roman" w:hAnsi="Times New Roman"/>
          <w:sz w:val="22"/>
        </w:rPr>
        <w:t>• Khổ giấy: Chuẩn A4 (210 x 297 mm), in một mặt trên giấy trắng định lượng tối thiểu 80 gsm.</w:t>
      </w:r>
    </w:p>
    <w:p>
      <w:pPr>
        <w:spacing w:after="80" w:line="276" w:lineRule="auto"/>
      </w:pPr>
      <w:r>
        <w:rPr>
          <w:rFonts w:ascii="Times New Roman" w:hAnsi="Times New Roman"/>
          <w:sz w:val="22"/>
        </w:rPr>
        <w:t>• Canh lề (Margins): Lề trên (Top): 2.5 cm; Lề dưới (Bottom): 2.5 cm; Lề trái (Left - gáy đóng sách): 3.5 cm; Lề phải (Right): 2.0 cm.</w:t>
      </w:r>
    </w:p>
    <w:p>
      <w:pPr>
        <w:spacing w:after="80" w:line="276" w:lineRule="auto"/>
      </w:pPr>
      <w:r>
        <w:rPr>
          <w:rFonts w:ascii="Times New Roman" w:hAnsi="Times New Roman"/>
          <w:sz w:val="22"/>
        </w:rPr>
        <w:t>• Đánh số trang: Đặt ở giữa lề dưới (Bottom Center) hoặc góc phải lề trên. Các trang trước phần mở đầu (Mục lục, Danh mục từ viết tắt, Lời cảm ơn) đánh số La Mã thường (i, ii, iii...). Toàn bộ nội dung chính từ Chương 1 đến hết phần Tài liệu tham khảo đánh số Ả Rập (1, 2, 3...).</w:t>
      </w:r>
    </w:p>
    <w:p>
      <w:pPr>
        <w:spacing w:after="80" w:line="276" w:lineRule="auto"/>
      </w:pPr>
      <w:r>
        <w:rPr>
          <w:rFonts w:ascii="Times New Roman" w:hAnsi="Times New Roman"/>
          <w:b/>
          <w:color w:val="003366"/>
          <w:sz w:val="22"/>
        </w:rPr>
        <w:t xml:space="preserve">2. Kiểu chữ và giãn cách: </w:t>
      </w:r>
      <w:r>
        <w:rPr>
          <w:rFonts w:ascii="Times New Roman" w:hAnsi="Times New Roman"/>
          <w:sz w:val="22"/>
        </w:rPr>
        <w:t>Quy cách phông chữ và giãn dòng (Typography):</w:t>
      </w:r>
    </w:p>
    <w:p>
      <w:pPr>
        <w:spacing w:after="80" w:line="276" w:lineRule="auto"/>
      </w:pPr>
      <w:r>
        <w:rPr>
          <w:rFonts w:ascii="Times New Roman" w:hAnsi="Times New Roman"/>
          <w:sz w:val="22"/>
        </w:rPr>
        <w:t>• Font chữ: Chuẩn Unicode Times New Roman, kích cỡ (Font size): 13 pt (hoặc 12 pt tùy quy định bộ môn).</w:t>
      </w:r>
    </w:p>
    <w:p>
      <w:pPr>
        <w:spacing w:after="80" w:line="276" w:lineRule="auto"/>
      </w:pPr>
      <w:r>
        <w:rPr>
          <w:rFonts w:ascii="Times New Roman" w:hAnsi="Times New Roman"/>
          <w:sz w:val="22"/>
        </w:rPr>
        <w:t>• Giãn dòng (Line spacing): 1.3 - 1.5 lines.</w:t>
      </w:r>
    </w:p>
    <w:p>
      <w:pPr>
        <w:spacing w:after="80" w:line="276" w:lineRule="auto"/>
      </w:pPr>
      <w:r>
        <w:rPr>
          <w:rFonts w:ascii="Times New Roman" w:hAnsi="Times New Roman"/>
          <w:sz w:val="22"/>
        </w:rPr>
        <w:t>• Thụt đầu dòng đoạn văn (First line indent): 1.0 cm - 1.27 cm (0.5 inch). Đoạn văn canh đều hai bên (Justified).</w:t>
      </w:r>
    </w:p>
    <w:p>
      <w:pPr>
        <w:spacing w:after="80" w:line="276" w:lineRule="auto"/>
      </w:pPr>
      <w:r>
        <w:rPr>
          <w:rFonts w:ascii="Times New Roman" w:hAnsi="Times New Roman"/>
          <w:sz w:val="22"/>
        </w:rPr>
        <w:t>• Tiêu đề (Headings): Đánh số theo phân cấp thập phân (1.1, 1.1.1, 1.1.2...). Không chia nhỏ quá 4 cấp tiêu đề.</w:t>
      </w:r>
    </w:p>
    <w:p>
      <w:pPr>
        <w:spacing w:after="80" w:line="276" w:lineRule="auto"/>
      </w:pPr>
      <w:r>
        <w:rPr>
          <w:rFonts w:ascii="Times New Roman" w:hAnsi="Times New Roman"/>
          <w:b/>
          <w:color w:val="003366"/>
          <w:sz w:val="22"/>
        </w:rPr>
        <w:t xml:space="preserve">3. Thứ tự bố cục tài liệu: </w:t>
      </w:r>
      <w:r>
        <w:rPr>
          <w:rFonts w:ascii="Times New Roman" w:hAnsi="Times New Roman"/>
          <w:sz w:val="22"/>
        </w:rPr>
        <w:t>Cấu trúc các phần bắt buộc của một cuốn Khóa luận Tốt nghiệp:</w:t>
      </w:r>
    </w:p>
    <w:p>
      <w:pPr>
        <w:spacing w:after="80" w:line="276" w:lineRule="auto"/>
      </w:pPr>
      <w:r>
        <w:rPr>
          <w:rFonts w:ascii="Times New Roman" w:hAnsi="Times New Roman"/>
          <w:sz w:val="22"/>
        </w:rPr>
        <w:t>• Bìa chính (Bìa cứng màu xanh dương đậm hoặc đỏ đô, mạ nhũ vàng).</w:t>
      </w:r>
    </w:p>
    <w:p>
      <w:pPr>
        <w:spacing w:after="80" w:line="276" w:lineRule="auto"/>
      </w:pPr>
      <w:r>
        <w:rPr>
          <w:rFonts w:ascii="Times New Roman" w:hAnsi="Times New Roman"/>
          <w:sz w:val="22"/>
        </w:rPr>
        <w:t>• Bìa phụ (Giấy trắng A4).</w:t>
      </w:r>
    </w:p>
    <w:p>
      <w:pPr>
        <w:spacing w:after="80" w:line="276" w:lineRule="auto"/>
      </w:pPr>
      <w:r>
        <w:rPr>
          <w:rFonts w:ascii="Times New Roman" w:hAnsi="Times New Roman"/>
          <w:sz w:val="22"/>
        </w:rPr>
        <w:t>• Lời cam đoan danh dự (Cam kết không đạo văn, đề tài do chính sinh viên nghiên cứu).</w:t>
      </w:r>
    </w:p>
    <w:p>
      <w:pPr>
        <w:spacing w:after="80" w:line="276" w:lineRule="auto"/>
      </w:pPr>
      <w:r>
        <w:rPr>
          <w:rFonts w:ascii="Times New Roman" w:hAnsi="Times New Roman"/>
          <w:sz w:val="22"/>
        </w:rPr>
        <w:t>• Nhận xét của Giảng viên hướng dẫn (Kèm chữ ký xác nhận).</w:t>
      </w:r>
    </w:p>
    <w:p>
      <w:pPr>
        <w:spacing w:after="80" w:line="276" w:lineRule="auto"/>
      </w:pPr>
      <w:r>
        <w:rPr>
          <w:rFonts w:ascii="Times New Roman" w:hAnsi="Times New Roman"/>
          <w:sz w:val="22"/>
        </w:rPr>
        <w:t>• Nhận xét của Giảng viên phản biện.</w:t>
      </w:r>
    </w:p>
    <w:p>
      <w:pPr>
        <w:spacing w:after="80" w:line="276" w:lineRule="auto"/>
      </w:pPr>
      <w:r>
        <w:rPr>
          <w:rFonts w:ascii="Times New Roman" w:hAnsi="Times New Roman"/>
          <w:sz w:val="22"/>
        </w:rPr>
        <w:t>• Lời cảm ơn.</w:t>
      </w:r>
    </w:p>
    <w:p>
      <w:pPr>
        <w:spacing w:after="80" w:line="276" w:lineRule="auto"/>
      </w:pPr>
      <w:r>
        <w:rPr>
          <w:rFonts w:ascii="Times New Roman" w:hAnsi="Times New Roman"/>
          <w:sz w:val="22"/>
        </w:rPr>
        <w:t>• Tóm tắt khóa luận bằng Tiếng Việt (Abstract in Vietnamese, từ 250 - 350 từ).</w:t>
      </w:r>
    </w:p>
    <w:p>
      <w:pPr>
        <w:spacing w:after="80" w:line="276" w:lineRule="auto"/>
      </w:pPr>
      <w:r>
        <w:rPr>
          <w:rFonts w:ascii="Times New Roman" w:hAnsi="Times New Roman"/>
          <w:sz w:val="22"/>
        </w:rPr>
        <w:t>• Tóm tắt khóa luận bằng Tiếng Anh (Abstract in English).</w:t>
      </w:r>
    </w:p>
    <w:p>
      <w:pPr>
        <w:spacing w:after="80" w:line="276" w:lineRule="auto"/>
      </w:pPr>
      <w:r>
        <w:rPr>
          <w:rFonts w:ascii="Times New Roman" w:hAnsi="Times New Roman"/>
          <w:sz w:val="22"/>
        </w:rPr>
        <w:t>• Mục lục tự động (Table of Contents).</w:t>
      </w:r>
    </w:p>
    <w:p>
      <w:pPr>
        <w:spacing w:after="80" w:line="276" w:lineRule="auto"/>
      </w:pPr>
      <w:r>
        <w:rPr>
          <w:rFonts w:ascii="Times New Roman" w:hAnsi="Times New Roman"/>
          <w:sz w:val="22"/>
        </w:rPr>
        <w:t>• Danh mục các bảng biểu, hình ảnh, đồ thị, chữ viết tắt.</w:t>
      </w:r>
    </w:p>
    <w:p>
      <w:pPr>
        <w:spacing w:after="80" w:line="276" w:lineRule="auto"/>
      </w:pPr>
      <w:r>
        <w:rPr>
          <w:rFonts w:ascii="Times New Roman" w:hAnsi="Times New Roman"/>
          <w:sz w:val="22"/>
        </w:rPr>
        <w:t>• Nội dung chính (Chương 1: Tổng quan lý thuyết; Chương 2: Phương pháp nghiên cứu; Chương 3: Kết quả thực nghiệm và Thảo luận; Chương 4: Kết luận &amp; Hướng phát triển).</w:t>
      </w:r>
    </w:p>
    <w:p>
      <w:pPr>
        <w:spacing w:after="80" w:line="276" w:lineRule="auto"/>
      </w:pPr>
      <w:r>
        <w:rPr>
          <w:rFonts w:ascii="Times New Roman" w:hAnsi="Times New Roman"/>
          <w:sz w:val="22"/>
        </w:rPr>
        <w:t>• Danh mục Tài liệu tham khảo (References - Chuẩn IEEE hoặc APA).</w:t>
      </w:r>
    </w:p>
    <w:p>
      <w:pPr>
        <w:spacing w:after="80" w:line="276" w:lineRule="auto"/>
      </w:pPr>
      <w:r>
        <w:rPr>
          <w:rFonts w:ascii="Times New Roman" w:hAnsi="Times New Roman"/>
          <w:sz w:val="22"/>
        </w:rPr>
        <w:t>• Phụ lục (Mã nguồn, bảng số liệu thô, phiếu khảo sát...).</w:t>
      </w:r>
    </w:p>
    <w:p>
      <w:pPr>
        <w:pStyle w:val="Heading1"/>
        <w:spacing w:before="280" w:after="120"/>
      </w:pPr>
      <w:r>
        <w:rPr>
          <w:rFonts w:ascii="Times New Roman" w:hAnsi="Times New Roman"/>
          <w:b/>
          <w:color w:val="003366"/>
          <w:sz w:val="28"/>
        </w:rPr>
        <w:t>PHẦN 11: CẨM NANG THỰC HIỆN ĐỀ TÀI NCKH SINH VIÊN &amp; XIN TÀI TRỢ KINH PHÍ TẠI HCMUS</w:t>
      </w:r>
    </w:p>
    <w:p>
      <w:pPr>
        <w:spacing w:after="80" w:line="276" w:lineRule="auto"/>
      </w:pPr>
      <w:r>
        <w:rPr>
          <w:rFonts w:ascii="Times New Roman" w:hAnsi="Times New Roman"/>
          <w:sz w:val="22"/>
        </w:rPr>
        <w:t>Hàng năm, Phòng Khoa học Công nghệ và Ban Quản lý NCKH Sinh viên HCMUS cấp kinh phí tài trợ cho hàng trăm đề tài nghiên cứu tiềm năng của sinh viên hệ chính quy. Dưới đây là quy trình chi tiết từ ý tưởng đến nghiệm thu đề tài:</w:t>
      </w:r>
    </w:p>
    <w:p>
      <w:pPr>
        <w:spacing w:after="80" w:line="276" w:lineRule="auto"/>
      </w:pPr>
      <w:r>
        <w:rPr>
          <w:rFonts w:ascii="Times New Roman" w:hAnsi="Times New Roman"/>
          <w:b/>
          <w:color w:val="003366"/>
          <w:sz w:val="22"/>
        </w:rPr>
        <w:t>1. Các cấp đề tài NCKH:</w:t>
      </w:r>
      <w:r>
        <w:rPr>
          <w:rFonts w:ascii="Times New Roman" w:hAnsi="Times New Roman"/>
          <w:sz w:val="22"/>
        </w:rPr>
        <w:t>Các chương trình tài trợ nghiên cứu sinh viên:</w:t>
      </w:r>
    </w:p>
    <w:p>
      <w:pPr>
        <w:spacing w:after="80" w:line="276" w:lineRule="auto"/>
      </w:pPr>
      <w:r>
        <w:rPr>
          <w:rFonts w:ascii="Times New Roman" w:hAnsi="Times New Roman"/>
          <w:sz w:val="22"/>
        </w:rPr>
        <w:t>• Đề tài NCKH Sinh viên Cấp Cơ sở (HCMUS): Mức tài trợ từ 5.000.000 VNĐ đến 15.000.000 VNĐ/đề tài. Thời gian thực hiện: 6 - 12 tháng. Hồ sơ nhận vào tháng 3 và tháng 9 hàng năm.</w:t>
      </w:r>
    </w:p>
    <w:p>
      <w:pPr>
        <w:spacing w:after="80" w:line="276" w:lineRule="auto"/>
      </w:pPr>
      <w:r>
        <w:rPr>
          <w:rFonts w:ascii="Times New Roman" w:hAnsi="Times New Roman"/>
          <w:sz w:val="22"/>
        </w:rPr>
        <w:t>• Đề tài NCKH Trọng điểm ĐHQG-HCM: Dành cho các nhóm nghiên cứu liên ngành, tài trợ lên đến 30.000.000 VNĐ - 50.000.000 VNĐ.</w:t>
      </w:r>
    </w:p>
    <w:p>
      <w:pPr>
        <w:spacing w:after="80" w:line="276" w:lineRule="auto"/>
      </w:pPr>
      <w:r>
        <w:rPr>
          <w:rFonts w:ascii="Times New Roman" w:hAnsi="Times New Roman"/>
          <w:sz w:val="22"/>
        </w:rPr>
        <w:t>• Giải thưởng Sinh viên Nghiên cứu Khoa học Euréka (Thành Đoàn TP.HCM): Cuộc thi học thuật đỉnh cao toàn miền Nam và toàn quốc, tổ chức vào tháng 7 - 11 hàng năm với các giải thưởng trị giá cao kèm bằng khen của Bộ GD&amp;ĐT.</w:t>
      </w:r>
    </w:p>
    <w:p>
      <w:pPr>
        <w:spacing w:after="80" w:line="276" w:lineRule="auto"/>
      </w:pPr>
      <w:r>
        <w:rPr>
          <w:rFonts w:ascii="Times New Roman" w:hAnsi="Times New Roman"/>
          <w:b/>
          <w:color w:val="003366"/>
          <w:sz w:val="22"/>
        </w:rPr>
        <w:t>2. Yêu cầu bản thuyết minh đề cương:</w:t>
      </w:r>
      <w:r>
        <w:rPr>
          <w:rFonts w:ascii="Times New Roman" w:hAnsi="Times New Roman"/>
          <w:sz w:val="22"/>
        </w:rPr>
        <w:t>Cấu trúc bản thuyết minh đề cương nghiên cứu khoa học (Research Proposal):</w:t>
      </w:r>
    </w:p>
    <w:p>
      <w:pPr>
        <w:spacing w:after="80" w:line="276" w:lineRule="auto"/>
      </w:pPr>
      <w:r>
        <w:rPr>
          <w:rFonts w:ascii="Times New Roman" w:hAnsi="Times New Roman"/>
          <w:sz w:val="22"/>
        </w:rPr>
        <w:t>• Tính cấp thiết của đề tài (Research Motivation): Nêu rõ bài toán thực tiễn cần giải quyết và khoảng trống tri thức (Knowledge Gap).</w:t>
      </w:r>
    </w:p>
    <w:p>
      <w:pPr>
        <w:spacing w:after="80" w:line="276" w:lineRule="auto"/>
      </w:pPr>
      <w:r>
        <w:rPr>
          <w:rFonts w:ascii="Times New Roman" w:hAnsi="Times New Roman"/>
          <w:sz w:val="22"/>
        </w:rPr>
        <w:t>• Mục tiêu nghiên cứu (Objectives): Phân biệt rõ mục tiêu chung (General Objective) và các mục tiêu cụ thể (Specific Objectives).</w:t>
      </w:r>
    </w:p>
    <w:p>
      <w:pPr>
        <w:spacing w:after="80" w:line="276" w:lineRule="auto"/>
      </w:pPr>
      <w:r>
        <w:rPr>
          <w:rFonts w:ascii="Times New Roman" w:hAnsi="Times New Roman"/>
          <w:sz w:val="22"/>
        </w:rPr>
        <w:t>• Tổng quan tình hình nghiên cứu (Literature Review): Khảo sát tối thiểu 15-30 bài báo quốc tế (ISI/Scopus) và trong nước liên quan trong vòng 5 năm trở lại.</w:t>
      </w:r>
    </w:p>
    <w:p>
      <w:pPr>
        <w:spacing w:after="80" w:line="276" w:lineRule="auto"/>
      </w:pPr>
      <w:r>
        <w:rPr>
          <w:rFonts w:ascii="Times New Roman" w:hAnsi="Times New Roman"/>
          <w:sz w:val="22"/>
        </w:rPr>
        <w:t>• Đối tượng và phạm vi nghiên cứu (Scope &amp; Limitations).</w:t>
      </w:r>
    </w:p>
    <w:p>
      <w:pPr>
        <w:spacing w:after="80" w:line="276" w:lineRule="auto"/>
      </w:pPr>
      <w:r>
        <w:rPr>
          <w:rFonts w:ascii="Times New Roman" w:hAnsi="Times New Roman"/>
          <w:sz w:val="22"/>
        </w:rPr>
        <w:t>• Phương pháp nghiên cứu và kỹ thuật thực nghiệm (Methodology): Mô tả chi tiết quy trình thí nghiệm, giải thuật, tập dữ liệu huấn luyện, phương sai thống kê.</w:t>
      </w:r>
    </w:p>
    <w:p>
      <w:pPr>
        <w:spacing w:after="80" w:line="276" w:lineRule="auto"/>
      </w:pPr>
      <w:r>
        <w:rPr>
          <w:rFonts w:ascii="Times New Roman" w:hAnsi="Times New Roman"/>
          <w:sz w:val="22"/>
        </w:rPr>
        <w:t>• Kế hoạch triển khai chi tiết theo từng tháng (Gantt Chart timeline).</w:t>
      </w:r>
    </w:p>
    <w:p>
      <w:pPr>
        <w:spacing w:after="80" w:line="276" w:lineRule="auto"/>
      </w:pPr>
      <w:r>
        <w:rPr>
          <w:rFonts w:ascii="Times New Roman" w:hAnsi="Times New Roman"/>
          <w:sz w:val="22"/>
        </w:rPr>
        <w:t>• Dự toán kinh phí chi tiết (Vật tư tiêu hao, hóa chất, chi phí đo đạc phân tích tại PTN, tài liệu chuyên khảo).</w:t>
      </w:r>
    </w:p>
    <w:p>
      <w:pPr>
        <w:spacing w:after="80" w:line="276" w:lineRule="auto"/>
      </w:pPr>
      <w:r>
        <w:rPr>
          <w:rFonts w:ascii="Times New Roman" w:hAnsi="Times New Roman"/>
          <w:sz w:val="22"/>
        </w:rPr>
        <w:t>• Sản phẩm dự kiến (Báo cáo tổng kết, bài báo đăng kỷ yếu hội nghị / tạp chí, sản phẩm mô hình, phần mềm).</w:t>
      </w:r>
    </w:p>
    <w:p>
      <w:pPr>
        <w:pStyle w:val="Heading1"/>
        <w:spacing w:before="280" w:after="120"/>
      </w:pPr>
      <w:r>
        <w:rPr>
          <w:rFonts w:ascii="Times New Roman" w:hAnsi="Times New Roman"/>
          <w:b/>
          <w:color w:val="003366"/>
          <w:sz w:val="28"/>
        </w:rPr>
        <w:t>PHẦN 12: BẢNG TRA CỨU PHÍ DỊCH VỤ, MỨC PHẠT QUÁ HẠN &amp; BỒI THƯỜNG TÀI LIỆU</w:t>
      </w:r>
    </w:p>
    <w:p>
      <w:pPr>
        <w:spacing w:after="80" w:line="276" w:lineRule="auto"/>
      </w:pPr>
      <w:r>
        <w:rPr>
          <w:rFonts w:ascii="Times New Roman" w:hAnsi="Times New Roman"/>
          <w:sz w:val="22"/>
        </w:rPr>
        <w:t>Để bảo vệ nguồn vốn tài liệu dùng chung và duy trì tính công bằng học thuật cho toàn thể cán bộ, giảng viên, sinh viên, Thư viện áp dụng chế tài bồi thường nghiêm ngặt theo Quyết định số 284/QĐ-KHTN-TV:</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8B0000"/>
          </w:tcPr>
          <w:p>
            <w:r>
              <w:rPr>
                <w:rFonts w:ascii="Times New Roman" w:hAnsi="Times New Roman"/>
                <w:b/>
                <w:color w:val="FFFFFF"/>
              </w:rPr>
              <w:t>Hành vi Vi phạm</w:t>
            </w:r>
          </w:p>
        </w:tc>
        <w:tc>
          <w:tcPr>
            <w:tcW w:type="dxa" w:w="2880"/>
            <w:shd w:val="clear" w:color="auto" w:fill="8B0000"/>
          </w:tcPr>
          <w:p>
            <w:r>
              <w:rPr>
                <w:rFonts w:ascii="Times New Roman" w:hAnsi="Times New Roman"/>
                <w:b/>
                <w:color w:val="FFFFFF"/>
              </w:rPr>
              <w:t>Mức Phạt Tài chính / Bồi thường</w:t>
            </w:r>
          </w:p>
        </w:tc>
        <w:tc>
          <w:tcPr>
            <w:tcW w:type="dxa" w:w="2880"/>
            <w:shd w:val="clear" w:color="auto" w:fill="8B0000"/>
          </w:tcPr>
          <w:p>
            <w:r>
              <w:rPr>
                <w:rFonts w:ascii="Times New Roman" w:hAnsi="Times New Roman"/>
                <w:b/>
                <w:color w:val="FFFFFF"/>
              </w:rPr>
              <w:t>Chế tài Xử lý &amp; Ghi chú Bổ sung</w:t>
            </w:r>
          </w:p>
        </w:tc>
      </w:tr>
      <w:tr>
        <w:tc>
          <w:tcPr>
            <w:tcW w:type="dxa" w:w="2880"/>
            <w:shd w:val="clear" w:color="auto" w:fill="FDF6F6"/>
          </w:tcPr>
          <w:p>
            <w:r>
              <w:rPr>
                <w:rFonts w:ascii="Times New Roman" w:hAnsi="Times New Roman"/>
                <w:sz w:val="20"/>
              </w:rPr>
              <w:t>Trả sách quá hạn (Overdue)</w:t>
            </w:r>
          </w:p>
        </w:tc>
        <w:tc>
          <w:tcPr>
            <w:tcW w:type="dxa" w:w="2880"/>
            <w:shd w:val="clear" w:color="auto" w:fill="FFFFFF"/>
          </w:tcPr>
          <w:p>
            <w:r>
              <w:rPr>
                <w:rFonts w:ascii="Times New Roman" w:hAnsi="Times New Roman"/>
                <w:sz w:val="20"/>
              </w:rPr>
              <w:t>1.000 VNĐ / ngày / cuốn (sách tiếng Việt)</w:t>
              <w:br/>
              <w:t>2.000 VNĐ / ngày / cuốn (sách ngoại văn)</w:t>
            </w:r>
          </w:p>
        </w:tc>
        <w:tc>
          <w:tcPr>
            <w:tcW w:type="dxa" w:w="2880"/>
            <w:shd w:val="clear" w:color="auto" w:fill="FFFFFF"/>
          </w:tcPr>
          <w:p>
            <w:r>
              <w:rPr>
                <w:rFonts w:ascii="Times New Roman" w:hAnsi="Times New Roman"/>
                <w:sz w:val="20"/>
              </w:rPr>
              <w:t>Trừ trực tiếp vào tài khoản thư viện hoặc thanh toán tại quầy Thủ thư khi trả sách. Quá hạn &gt; 30 ngày bị khóa tài khoản.</w:t>
            </w:r>
          </w:p>
        </w:tc>
      </w:tr>
      <w:tr>
        <w:tc>
          <w:tcPr>
            <w:tcW w:type="dxa" w:w="2880"/>
            <w:shd w:val="clear" w:color="auto" w:fill="FDF6F6"/>
          </w:tcPr>
          <w:p>
            <w:r>
              <w:rPr>
                <w:rFonts w:ascii="Times New Roman" w:hAnsi="Times New Roman"/>
                <w:sz w:val="20"/>
              </w:rPr>
              <w:t>Làm mất tài liệu (Lost book)</w:t>
            </w:r>
          </w:p>
        </w:tc>
        <w:tc>
          <w:tcPr>
            <w:tcW w:type="dxa" w:w="2880"/>
            <w:shd w:val="clear" w:color="auto" w:fill="FFFFFF"/>
          </w:tcPr>
          <w:p>
            <w:r>
              <w:rPr>
                <w:rFonts w:ascii="Times New Roman" w:hAnsi="Times New Roman"/>
                <w:sz w:val="20"/>
              </w:rPr>
              <w:t>Đền 01 cuốn sách mới cùng loại (đúng ấn bản hoặc mới hơn) + Phí xử lý nghiệp vụ 20.000 VNĐ</w:t>
            </w:r>
          </w:p>
        </w:tc>
        <w:tc>
          <w:tcPr>
            <w:tcW w:type="dxa" w:w="2880"/>
            <w:shd w:val="clear" w:color="auto" w:fill="FFFFFF"/>
          </w:tcPr>
          <w:p>
            <w:r>
              <w:rPr>
                <w:rFonts w:ascii="Times New Roman" w:hAnsi="Times New Roman"/>
                <w:sz w:val="20"/>
              </w:rPr>
              <w:t>Nếu sách đã ngưng xuất bản: Bồi thường gấp 03 lần giá trị gốc theo hóa đơn (đối với sách xuất bản trong nước) hoặc gấp 05 lần (sách ngoại văn).</w:t>
            </w:r>
          </w:p>
        </w:tc>
      </w:tr>
      <w:tr>
        <w:tc>
          <w:tcPr>
            <w:tcW w:type="dxa" w:w="2880"/>
            <w:shd w:val="clear" w:color="auto" w:fill="FDF6F6"/>
          </w:tcPr>
          <w:p>
            <w:r>
              <w:rPr>
                <w:rFonts w:ascii="Times New Roman" w:hAnsi="Times New Roman"/>
                <w:sz w:val="20"/>
              </w:rPr>
              <w:t>Làm rách, bẩn, vẽ bậy vào sách</w:t>
            </w:r>
          </w:p>
        </w:tc>
        <w:tc>
          <w:tcPr>
            <w:tcW w:type="dxa" w:w="2880"/>
            <w:shd w:val="clear" w:color="auto" w:fill="FFFFFF"/>
          </w:tcPr>
          <w:p>
            <w:r>
              <w:rPr>
                <w:rFonts w:ascii="Times New Roman" w:hAnsi="Times New Roman"/>
                <w:sz w:val="20"/>
              </w:rPr>
              <w:t>50.000 VNĐ - 100.000 VNĐ tùy mức độ hư hại</w:t>
            </w:r>
          </w:p>
        </w:tc>
        <w:tc>
          <w:tcPr>
            <w:tcW w:type="dxa" w:w="2880"/>
            <w:shd w:val="clear" w:color="auto" w:fill="FFFFFF"/>
          </w:tcPr>
          <w:p>
            <w:r>
              <w:rPr>
                <w:rFonts w:ascii="Times New Roman" w:hAnsi="Times New Roman"/>
                <w:sz w:val="20"/>
              </w:rPr>
              <w:t>Nếu làm rách trang bìa, mất trang nội dung: Bắt buộc bồi thường nguyên cuốn sách mới.</w:t>
            </w:r>
          </w:p>
        </w:tc>
      </w:tr>
      <w:tr>
        <w:tc>
          <w:tcPr>
            <w:tcW w:type="dxa" w:w="2880"/>
            <w:shd w:val="clear" w:color="auto" w:fill="FDF6F6"/>
          </w:tcPr>
          <w:p>
            <w:r>
              <w:rPr>
                <w:rFonts w:ascii="Times New Roman" w:hAnsi="Times New Roman"/>
                <w:sz w:val="20"/>
              </w:rPr>
              <w:t>Làm mất khóa tủ đồ cá nhân</w:t>
            </w:r>
          </w:p>
        </w:tc>
        <w:tc>
          <w:tcPr>
            <w:tcW w:type="dxa" w:w="2880"/>
            <w:shd w:val="clear" w:color="auto" w:fill="FFFFFF"/>
          </w:tcPr>
          <w:p>
            <w:r>
              <w:rPr>
                <w:rFonts w:ascii="Times New Roman" w:hAnsi="Times New Roman"/>
                <w:sz w:val="20"/>
              </w:rPr>
              <w:t>50.000 VNĐ / chìa khóa / lần</w:t>
            </w:r>
          </w:p>
        </w:tc>
        <w:tc>
          <w:tcPr>
            <w:tcW w:type="dxa" w:w="2880"/>
            <w:shd w:val="clear" w:color="auto" w:fill="FFFFFF"/>
          </w:tcPr>
          <w:p>
            <w:r>
              <w:rPr>
                <w:rFonts w:ascii="Times New Roman" w:hAnsi="Times New Roman"/>
                <w:sz w:val="20"/>
              </w:rPr>
              <w:t>Thủ thư lập biên bản, kiểm tra giấy tờ tùy thân trước khi mở tủ đồ.</w:t>
            </w:r>
          </w:p>
        </w:tc>
      </w:tr>
      <w:tr>
        <w:tc>
          <w:tcPr>
            <w:tcW w:type="dxa" w:w="2880"/>
            <w:shd w:val="clear" w:color="auto" w:fill="FDF6F6"/>
          </w:tcPr>
          <w:p>
            <w:r>
              <w:rPr>
                <w:rFonts w:ascii="Times New Roman" w:hAnsi="Times New Roman"/>
                <w:sz w:val="20"/>
              </w:rPr>
              <w:t>Làm mất/hỏng thẻ sinh viên khi qua cổng</w:t>
            </w:r>
          </w:p>
        </w:tc>
        <w:tc>
          <w:tcPr>
            <w:tcW w:type="dxa" w:w="2880"/>
            <w:shd w:val="clear" w:color="auto" w:fill="FFFFFF"/>
          </w:tcPr>
          <w:p>
            <w:r>
              <w:rPr>
                <w:rFonts w:ascii="Times New Roman" w:hAnsi="Times New Roman"/>
                <w:sz w:val="20"/>
              </w:rPr>
              <w:t>50.000 VNĐ (phí cấp lại thẻ sinh viên tích hợp thẻ thư viện tại P.CTSV)</w:t>
            </w:r>
          </w:p>
        </w:tc>
        <w:tc>
          <w:tcPr>
            <w:tcW w:type="dxa" w:w="2880"/>
            <w:shd w:val="clear" w:color="auto" w:fill="FFFFFF"/>
          </w:tcPr>
          <w:p>
            <w:r>
              <w:rPr>
                <w:rFonts w:ascii="Times New Roman" w:hAnsi="Times New Roman"/>
                <w:sz w:val="20"/>
              </w:rPr>
              <w:t>Sinh viên liên hệ Phòng Công tác Sinh viên (P.CTSV) để làm thủ tục in lại phôi thẻ từ.</w:t>
            </w:r>
          </w:p>
        </w:tc>
      </w:tr>
      <w:tr>
        <w:tc>
          <w:tcPr>
            <w:tcW w:type="dxa" w:w="2880"/>
            <w:shd w:val="clear" w:color="auto" w:fill="FDF6F6"/>
          </w:tcPr>
          <w:p>
            <w:r>
              <w:rPr>
                <w:rFonts w:ascii="Times New Roman" w:hAnsi="Times New Roman"/>
                <w:sz w:val="20"/>
              </w:rPr>
              <w:t>Nói chuyện ồn ào, ăn uống trong phòng đọc</w:t>
            </w:r>
          </w:p>
        </w:tc>
        <w:tc>
          <w:tcPr>
            <w:tcW w:type="dxa" w:w="2880"/>
            <w:shd w:val="clear" w:color="auto" w:fill="FFFFFF"/>
          </w:tcPr>
          <w:p>
            <w:r>
              <w:rPr>
                <w:rFonts w:ascii="Times New Roman" w:hAnsi="Times New Roman"/>
                <w:sz w:val="20"/>
              </w:rPr>
              <w:t>Nhắc nhở lần 1; Thu thẻ thư viện tạm thời 07 ngày ở lần 2; Cấm vào thư viện 01 học kỳ ở lần 3</w:t>
            </w:r>
          </w:p>
        </w:tc>
        <w:tc>
          <w:tcPr>
            <w:tcW w:type="dxa" w:w="2880"/>
            <w:shd w:val="clear" w:color="auto" w:fill="FFFFFF"/>
          </w:tcPr>
          <w:p>
            <w:r>
              <w:rPr>
                <w:rFonts w:ascii="Times New Roman" w:hAnsi="Times New Roman"/>
                <w:sz w:val="20"/>
              </w:rPr>
              <w:t>Camera an ninh giám sát 24/7 ghi nhận vi phạm và gửi danh sách về Phòng CTSV để trừ Điểm rèn luyện.</w:t>
            </w:r>
          </w:p>
        </w:tc>
      </w:tr>
    </w:tbl>
    <w:p>
      <w:pPr>
        <w:pStyle w:val="Heading1"/>
        <w:spacing w:before="280" w:after="120"/>
      </w:pPr>
      <w:r>
        <w:rPr>
          <w:rFonts w:ascii="Times New Roman" w:hAnsi="Times New Roman"/>
          <w:b/>
          <w:color w:val="003366"/>
          <w:sz w:val="28"/>
        </w:rPr>
        <w:t>PHẦN 13: CẨM NANG ĐĂNG KÝ BẢN QUYỀN SÁNG CHẾ, GIẢI PHÁP HỮU ÍCH &amp; PHẦN MỀM TẠI TRƯỜNG ĐHKHTN</w:t>
      </w:r>
    </w:p>
    <w:p>
      <w:pPr>
        <w:spacing w:after="80" w:line="276" w:lineRule="auto"/>
      </w:pPr>
      <w:r>
        <w:rPr>
          <w:rFonts w:ascii="Times New Roman" w:hAnsi="Times New Roman"/>
          <w:sz w:val="22"/>
        </w:rPr>
        <w:t>Trường ĐH Khoa học Tự nhiên ĐHQG-HCM luôn khuyến khích sinh viên và giảng viên bảo hộ tài sản trí tuệ phát sinh từ các đề tài nghiên cứu khoa học, khóa luận tốt nghiệp trước khi công bố ra công chúng:</w:t>
      </w:r>
    </w:p>
    <w:p>
      <w:pPr>
        <w:pStyle w:val="Heading2"/>
        <w:spacing w:before="200" w:after="80"/>
      </w:pPr>
      <w:r>
        <w:rPr>
          <w:rFonts w:ascii="Times New Roman" w:hAnsi="Times New Roman"/>
          <w:b/>
          <w:color w:val="1B365D"/>
          <w:sz w:val="24"/>
        </w:rPr>
        <w:t>13.1. Các Đối tượng Sở hữu Trí tuệ Phổ biến của Sinh viên KHTN</w:t>
      </w:r>
    </w:p>
    <w:p>
      <w:pPr>
        <w:spacing w:after="80" w:line="276" w:lineRule="auto"/>
      </w:pPr>
      <w:r>
        <w:rPr>
          <w:rFonts w:ascii="Times New Roman" w:hAnsi="Times New Roman"/>
          <w:sz w:val="22"/>
        </w:rPr>
        <w:t>1. Quyền tác giả đối với Chương trình Máy tính (Phần mềm): Đăng ký Giấy chứng nhận Đăng ký Quyền tác giả tại Cục Bản quyền Tác giả (Bộ VHTTDL). Hồ sơ gồm: Đơn đăng ký, 02 đĩa CD chứa mã nguồn và bộ cài đặt, 02 bản in giao diện và mã nguồn (Code listing).</w:t>
      </w:r>
    </w:p>
    <w:p>
      <w:pPr>
        <w:spacing w:after="80" w:line="276" w:lineRule="auto"/>
      </w:pPr>
      <w:r>
        <w:rPr>
          <w:rFonts w:ascii="Times New Roman" w:hAnsi="Times New Roman"/>
          <w:sz w:val="22"/>
        </w:rPr>
        <w:t>2. Bằng độc quyền Sáng chế &amp; Giải pháp Hữu ích: Bảo hộ các quy trình hóa học mới, công thức vật liệu composite, chủng vi sinh vật biến nạp gen có tính mới và khả năng áp dụng công nghiệp tại Cục Sở hữu Trí tuệ (Bộ KH&amp;CN).</w:t>
      </w:r>
    </w:p>
    <w:p>
      <w:pPr>
        <w:spacing w:after="80" w:line="276" w:lineRule="auto"/>
      </w:pPr>
      <w:r>
        <w:rPr>
          <w:rFonts w:ascii="Times New Roman" w:hAnsi="Times New Roman"/>
          <w:sz w:val="22"/>
        </w:rPr>
        <w:t>3. Bí mật kinh doanh: Các thuật toán độc quyền, công thức thí nghiệm chưa muốn công bố công khai ra bên ngoài.</w:t>
      </w:r>
    </w:p>
    <w:p>
      <w:pPr>
        <w:pStyle w:val="Heading2"/>
        <w:spacing w:before="200" w:after="80"/>
      </w:pPr>
      <w:r>
        <w:rPr>
          <w:rFonts w:ascii="Times New Roman" w:hAnsi="Times New Roman"/>
          <w:b/>
          <w:color w:val="1B365D"/>
          <w:sz w:val="24"/>
        </w:rPr>
        <w:t>13.2. Chính sách Tài trợ Kinh phí Đăng ký Sở hữu Trí tuệ của Nhà trường</w:t>
      </w:r>
    </w:p>
    <w:p>
      <w:pPr>
        <w:spacing w:after="80" w:line="276" w:lineRule="auto"/>
      </w:pPr>
      <w:r>
        <w:rPr>
          <w:rFonts w:ascii="Times New Roman" w:hAnsi="Times New Roman"/>
          <w:sz w:val="22"/>
        </w:rPr>
        <w:t>• Phòng Khoa học - Công nghệ (P.KHCN) HCMUS phối hợp cùng Trung tâm Sở hữu Trí tuệ &amp; Chuyển giao Công nghệ ĐHQG-HCM (IPTC) hỗ trợ 100% kinh phí tra cứu bằng sáng chế, phí nộp đơn và phí duy trì văn bằng bảo hộ cho các nhóm nghiên cứu sinh viên có sản phẩm tiềm năng thương mại hóa.</w:t>
      </w:r>
    </w:p>
    <w:p>
      <w:pPr>
        <w:spacing w:after="80" w:line="276" w:lineRule="auto"/>
      </w:pPr>
      <w:r>
        <w:rPr>
          <w:rFonts w:ascii="Times New Roman" w:hAnsi="Times New Roman"/>
          <w:sz w:val="22"/>
        </w:rPr>
        <w:t>• Địa chỉ liên hệ tư vấn SHTT: Phòng A12, Tòa nhà A - Cơ sở 1 Nguyễn Văn Cừ. Email: shtt@hcmus.edu.vn.</w:t>
      </w:r>
    </w:p>
    <w:p>
      <w:pPr>
        <w:pStyle w:val="Heading1"/>
        <w:spacing w:before="280" w:after="120"/>
      </w:pPr>
      <w:r>
        <w:rPr>
          <w:rFonts w:ascii="Times New Roman" w:hAnsi="Times New Roman"/>
          <w:b/>
          <w:color w:val="003366"/>
          <w:sz w:val="28"/>
        </w:rPr>
        <w:t>PHẦN 14: BẢNG DANH MỤC TẠP CHÍ QUỐC TẾ UY TÍN (ISI/SCOPUS Q1/Q2) THEO LĨNH VỰC</w:t>
      </w:r>
    </w:p>
    <w:p>
      <w:pPr>
        <w:spacing w:after="80" w:line="276" w:lineRule="auto"/>
      </w:pPr>
      <w:r>
        <w:rPr>
          <w:rFonts w:ascii="Times New Roman" w:hAnsi="Times New Roman"/>
          <w:sz w:val="22"/>
        </w:rPr>
        <w:t>Sinh viên làm nghiên cứu khoa học hướng đến công bố quốc tế có thể tra cứu danh sách các tạp chí bình duyệt uy tín được Quỹ NAFOSTED và ĐHQG-HCM công nhận: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r>
              <w:rPr>
                <w:rFonts w:ascii="Times New Roman" w:hAnsi="Times New Roman"/>
                <w:b/>
                <w:color w:val="FFFFFF"/>
              </w:rPr>
              <w:t>Lĩnh Vực Chuyên Ngành</w:t>
            </w:r>
          </w:p>
        </w:tc>
        <w:tc>
          <w:tcPr>
            <w:tcW w:type="dxa" w:w="1728"/>
            <w:shd w:val="clear" w:color="auto" w:fill="003366"/>
          </w:tcPr>
          <w:p>
            <w:r>
              <w:rPr>
                <w:rFonts w:ascii="Times New Roman" w:hAnsi="Times New Roman"/>
                <w:b/>
                <w:color w:val="FFFFFF"/>
              </w:rPr>
              <w:t>Tên Tạp Chí Quốc Tế</w:t>
            </w:r>
          </w:p>
        </w:tc>
        <w:tc>
          <w:tcPr>
            <w:tcW w:type="dxa" w:w="1728"/>
            <w:shd w:val="clear" w:color="auto" w:fill="003366"/>
          </w:tcPr>
          <w:p>
            <w:r>
              <w:rPr>
                <w:rFonts w:ascii="Times New Roman" w:hAnsi="Times New Roman"/>
                <w:b/>
                <w:color w:val="FFFFFF"/>
              </w:rPr>
              <w:t>Phân Hạng</w:t>
            </w:r>
          </w:p>
        </w:tc>
        <w:tc>
          <w:tcPr>
            <w:tcW w:type="dxa" w:w="1728"/>
            <w:shd w:val="clear" w:color="auto" w:fill="003366"/>
          </w:tcPr>
          <w:p>
            <w:r>
              <w:rPr>
                <w:rFonts w:ascii="Times New Roman" w:hAnsi="Times New Roman"/>
                <w:b/>
                <w:color w:val="FFFFFF"/>
              </w:rPr>
              <w:t>Nhà Xuất Bản</w:t>
            </w:r>
          </w:p>
        </w:tc>
        <w:tc>
          <w:tcPr>
            <w:tcW w:type="dxa" w:w="1728"/>
            <w:shd w:val="clear" w:color="auto" w:fill="003366"/>
          </w:tcPr>
          <w:p>
            <w:r>
              <w:rPr>
                <w:rFonts w:ascii="Times New Roman" w:hAnsi="Times New Roman"/>
                <w:b/>
                <w:color w:val="FFFFFF"/>
              </w:rPr>
              <w:t>Đặc Tả &amp; Mức Độ Ảnh Hưởng (Impact)</w:t>
            </w:r>
          </w:p>
        </w:tc>
      </w:tr>
      <w:tr>
        <w:tc>
          <w:tcPr>
            <w:tcW w:type="dxa" w:w="1728"/>
            <w:shd w:val="clear" w:color="auto" w:fill="F4F6F9"/>
          </w:tcPr>
          <w:p>
            <w:r>
              <w:rPr>
                <w:rFonts w:ascii="Times New Roman" w:hAnsi="Times New Roman"/>
                <w:sz w:val="18"/>
              </w:rPr>
              <w:t>Khoa học Máy tính &amp; AI</w:t>
            </w:r>
          </w:p>
        </w:tc>
        <w:tc>
          <w:tcPr>
            <w:tcW w:type="dxa" w:w="1728"/>
            <w:shd w:val="clear" w:color="auto" w:fill="FFFFFF"/>
          </w:tcPr>
          <w:p>
            <w:r>
              <w:rPr>
                <w:rFonts w:ascii="Times New Roman" w:hAnsi="Times New Roman"/>
                <w:sz w:val="18"/>
              </w:rPr>
              <w:t>IEEE Transactions on Pattern Analysis and Machine Intelligence (TPAMI)</w:t>
            </w:r>
          </w:p>
        </w:tc>
        <w:tc>
          <w:tcPr>
            <w:tcW w:type="dxa" w:w="1728"/>
            <w:shd w:val="clear" w:color="auto" w:fill="FFFFFF"/>
          </w:tcPr>
          <w:p>
            <w:r>
              <w:rPr>
                <w:rFonts w:ascii="Times New Roman" w:hAnsi="Times New Roman"/>
                <w:sz w:val="18"/>
              </w:rPr>
              <w:t>Q1</w:t>
            </w:r>
          </w:p>
        </w:tc>
        <w:tc>
          <w:tcPr>
            <w:tcW w:type="dxa" w:w="1728"/>
            <w:shd w:val="clear" w:color="auto" w:fill="FFFFFF"/>
          </w:tcPr>
          <w:p>
            <w:r>
              <w:rPr>
                <w:rFonts w:ascii="Times New Roman" w:hAnsi="Times New Roman"/>
                <w:sz w:val="18"/>
              </w:rPr>
              <w:t>IEEE</w:t>
            </w:r>
          </w:p>
        </w:tc>
        <w:tc>
          <w:tcPr>
            <w:tcW w:type="dxa" w:w="1728"/>
            <w:shd w:val="clear" w:color="auto" w:fill="FFFFFF"/>
          </w:tcPr>
          <w:p>
            <w:r>
              <w:rPr>
                <w:rFonts w:ascii="Times New Roman" w:hAnsi="Times New Roman"/>
                <w:sz w:val="18"/>
              </w:rPr>
              <w:t>Impact Factor: 20.8. Tạp chí hàng đầu thế giới về Thị giác máy tính và Trí tuệ nhân tạo.</w:t>
            </w:r>
          </w:p>
        </w:tc>
      </w:tr>
      <w:tr>
        <w:tc>
          <w:tcPr>
            <w:tcW w:type="dxa" w:w="1728"/>
            <w:shd w:val="clear" w:color="auto" w:fill="F4F6F9"/>
          </w:tcPr>
          <w:p>
            <w:r>
              <w:rPr>
                <w:rFonts w:ascii="Times New Roman" w:hAnsi="Times New Roman"/>
                <w:sz w:val="18"/>
              </w:rPr>
              <w:t>Khoa học Máy tính &amp; AI</w:t>
            </w:r>
          </w:p>
        </w:tc>
        <w:tc>
          <w:tcPr>
            <w:tcW w:type="dxa" w:w="1728"/>
            <w:shd w:val="clear" w:color="auto" w:fill="FFFFFF"/>
          </w:tcPr>
          <w:p>
            <w:r>
              <w:rPr>
                <w:rFonts w:ascii="Times New Roman" w:hAnsi="Times New Roman"/>
                <w:sz w:val="18"/>
              </w:rPr>
              <w:t>ACM Computing Surveys (CSUR)</w:t>
            </w:r>
          </w:p>
        </w:tc>
        <w:tc>
          <w:tcPr>
            <w:tcW w:type="dxa" w:w="1728"/>
            <w:shd w:val="clear" w:color="auto" w:fill="FFFFFF"/>
          </w:tcPr>
          <w:p>
            <w:r>
              <w:rPr>
                <w:rFonts w:ascii="Times New Roman" w:hAnsi="Times New Roman"/>
                <w:sz w:val="18"/>
              </w:rPr>
              <w:t>Q1</w:t>
            </w:r>
          </w:p>
        </w:tc>
        <w:tc>
          <w:tcPr>
            <w:tcW w:type="dxa" w:w="1728"/>
            <w:shd w:val="clear" w:color="auto" w:fill="FFFFFF"/>
          </w:tcPr>
          <w:p>
            <w:r>
              <w:rPr>
                <w:rFonts w:ascii="Times New Roman" w:hAnsi="Times New Roman"/>
                <w:sz w:val="18"/>
              </w:rPr>
              <w:t>ACM</w:t>
            </w:r>
          </w:p>
        </w:tc>
        <w:tc>
          <w:tcPr>
            <w:tcW w:type="dxa" w:w="1728"/>
            <w:shd w:val="clear" w:color="auto" w:fill="FFFFFF"/>
          </w:tcPr>
          <w:p>
            <w:r>
              <w:rPr>
                <w:rFonts w:ascii="Times New Roman" w:hAnsi="Times New Roman"/>
                <w:sz w:val="18"/>
              </w:rPr>
              <w:t>Impact Factor: 16.6. Khảo sát toàn diện các hướng nghiên cứu thuật toán tiên tiến.</w:t>
            </w:r>
          </w:p>
        </w:tc>
      </w:tr>
      <w:tr>
        <w:tc>
          <w:tcPr>
            <w:tcW w:type="dxa" w:w="1728"/>
            <w:shd w:val="clear" w:color="auto" w:fill="F4F6F9"/>
          </w:tcPr>
          <w:p>
            <w:r>
              <w:rPr>
                <w:rFonts w:ascii="Times New Roman" w:hAnsi="Times New Roman"/>
                <w:sz w:val="18"/>
              </w:rPr>
              <w:t>Toán học Lý thuyết &amp; Ứng dụng</w:t>
            </w:r>
          </w:p>
        </w:tc>
        <w:tc>
          <w:tcPr>
            <w:tcW w:type="dxa" w:w="1728"/>
            <w:shd w:val="clear" w:color="auto" w:fill="FFFFFF"/>
          </w:tcPr>
          <w:p>
            <w:r>
              <w:rPr>
                <w:rFonts w:ascii="Times New Roman" w:hAnsi="Times New Roman"/>
                <w:sz w:val="18"/>
              </w:rPr>
              <w:t>Journal of Differential Equations</w:t>
            </w:r>
          </w:p>
        </w:tc>
        <w:tc>
          <w:tcPr>
            <w:tcW w:type="dxa" w:w="1728"/>
            <w:shd w:val="clear" w:color="auto" w:fill="FFFFFF"/>
          </w:tcPr>
          <w:p>
            <w:r>
              <w:rPr>
                <w:rFonts w:ascii="Times New Roman" w:hAnsi="Times New Roman"/>
                <w:sz w:val="18"/>
              </w:rPr>
              <w:t>Q1</w:t>
            </w:r>
          </w:p>
        </w:tc>
        <w:tc>
          <w:tcPr>
            <w:tcW w:type="dxa" w:w="1728"/>
            <w:shd w:val="clear" w:color="auto" w:fill="FFFFFF"/>
          </w:tcPr>
          <w:p>
            <w:r>
              <w:rPr>
                <w:rFonts w:ascii="Times New Roman" w:hAnsi="Times New Roman"/>
                <w:sz w:val="18"/>
              </w:rPr>
              <w:t>Elsevier</w:t>
            </w:r>
          </w:p>
        </w:tc>
        <w:tc>
          <w:tcPr>
            <w:tcW w:type="dxa" w:w="1728"/>
            <w:shd w:val="clear" w:color="auto" w:fill="FFFFFF"/>
          </w:tcPr>
          <w:p>
            <w:r>
              <w:rPr>
                <w:rFonts w:ascii="Times New Roman" w:hAnsi="Times New Roman"/>
                <w:sz w:val="18"/>
              </w:rPr>
              <w:t>Tạp chí chuẩn mực về phương trình vi phân và giải tích ứng dụng.</w:t>
            </w:r>
          </w:p>
        </w:tc>
      </w:tr>
      <w:tr>
        <w:tc>
          <w:tcPr>
            <w:tcW w:type="dxa" w:w="1728"/>
            <w:shd w:val="clear" w:color="auto" w:fill="F4F6F9"/>
          </w:tcPr>
          <w:p>
            <w:r>
              <w:rPr>
                <w:rFonts w:ascii="Times New Roman" w:hAnsi="Times New Roman"/>
                <w:sz w:val="18"/>
              </w:rPr>
              <w:t>Vật lý &amp; Khoa học Vật liệu</w:t>
            </w:r>
          </w:p>
        </w:tc>
        <w:tc>
          <w:tcPr>
            <w:tcW w:type="dxa" w:w="1728"/>
            <w:shd w:val="clear" w:color="auto" w:fill="FFFFFF"/>
          </w:tcPr>
          <w:p>
            <w:r>
              <w:rPr>
                <w:rFonts w:ascii="Times New Roman" w:hAnsi="Times New Roman"/>
                <w:sz w:val="18"/>
              </w:rPr>
              <w:t>Physical Review Letters (PRL)</w:t>
            </w:r>
          </w:p>
        </w:tc>
        <w:tc>
          <w:tcPr>
            <w:tcW w:type="dxa" w:w="1728"/>
            <w:shd w:val="clear" w:color="auto" w:fill="FFFFFF"/>
          </w:tcPr>
          <w:p>
            <w:r>
              <w:rPr>
                <w:rFonts w:ascii="Times New Roman" w:hAnsi="Times New Roman"/>
                <w:sz w:val="18"/>
              </w:rPr>
              <w:t>Q1</w:t>
            </w:r>
          </w:p>
        </w:tc>
        <w:tc>
          <w:tcPr>
            <w:tcW w:type="dxa" w:w="1728"/>
            <w:shd w:val="clear" w:color="auto" w:fill="FFFFFF"/>
          </w:tcPr>
          <w:p>
            <w:r>
              <w:rPr>
                <w:rFonts w:ascii="Times New Roman" w:hAnsi="Times New Roman"/>
                <w:sz w:val="18"/>
              </w:rPr>
              <w:t>APS</w:t>
            </w:r>
          </w:p>
        </w:tc>
        <w:tc>
          <w:tcPr>
            <w:tcW w:type="dxa" w:w="1728"/>
            <w:shd w:val="clear" w:color="auto" w:fill="FFFFFF"/>
          </w:tcPr>
          <w:p>
            <w:r>
              <w:rPr>
                <w:rFonts w:ascii="Times New Roman" w:hAnsi="Times New Roman"/>
                <w:sz w:val="18"/>
              </w:rPr>
              <w:t>Tạp chí đỉnh cao của Hội Vật lý Hoa Kỳ về các khám phá vật lý lượng tử.</w:t>
            </w:r>
          </w:p>
        </w:tc>
      </w:tr>
      <w:tr>
        <w:tc>
          <w:tcPr>
            <w:tcW w:type="dxa" w:w="1728"/>
            <w:shd w:val="clear" w:color="auto" w:fill="F4F6F9"/>
          </w:tcPr>
          <w:p>
            <w:r>
              <w:rPr>
                <w:rFonts w:ascii="Times New Roman" w:hAnsi="Times New Roman"/>
                <w:sz w:val="18"/>
              </w:rPr>
              <w:t>Vật lý &amp; Khoa học Vật liệu</w:t>
            </w:r>
          </w:p>
        </w:tc>
        <w:tc>
          <w:tcPr>
            <w:tcW w:type="dxa" w:w="1728"/>
            <w:shd w:val="clear" w:color="auto" w:fill="FFFFFF"/>
          </w:tcPr>
          <w:p>
            <w:r>
              <w:rPr>
                <w:rFonts w:ascii="Times New Roman" w:hAnsi="Times New Roman"/>
                <w:sz w:val="18"/>
              </w:rPr>
              <w:t>Applied Surface Science</w:t>
            </w:r>
          </w:p>
        </w:tc>
        <w:tc>
          <w:tcPr>
            <w:tcW w:type="dxa" w:w="1728"/>
            <w:shd w:val="clear" w:color="auto" w:fill="FFFFFF"/>
          </w:tcPr>
          <w:p>
            <w:r>
              <w:rPr>
                <w:rFonts w:ascii="Times New Roman" w:hAnsi="Times New Roman"/>
                <w:sz w:val="18"/>
              </w:rPr>
              <w:t>Q1</w:t>
            </w:r>
          </w:p>
        </w:tc>
        <w:tc>
          <w:tcPr>
            <w:tcW w:type="dxa" w:w="1728"/>
            <w:shd w:val="clear" w:color="auto" w:fill="FFFFFF"/>
          </w:tcPr>
          <w:p>
            <w:r>
              <w:rPr>
                <w:rFonts w:ascii="Times New Roman" w:hAnsi="Times New Roman"/>
                <w:sz w:val="18"/>
              </w:rPr>
              <w:t>Elsevier</w:t>
            </w:r>
          </w:p>
        </w:tc>
        <w:tc>
          <w:tcPr>
            <w:tcW w:type="dxa" w:w="1728"/>
            <w:shd w:val="clear" w:color="auto" w:fill="FFFFFF"/>
          </w:tcPr>
          <w:p>
            <w:r>
              <w:rPr>
                <w:rFonts w:ascii="Times New Roman" w:hAnsi="Times New Roman"/>
                <w:sz w:val="18"/>
              </w:rPr>
              <w:t>Chuyên ngành vật liệu nano, màng mỏng bán dẫn và xúc tác quang hóa.</w:t>
            </w:r>
          </w:p>
        </w:tc>
      </w:tr>
      <w:tr>
        <w:tc>
          <w:tcPr>
            <w:tcW w:type="dxa" w:w="1728"/>
            <w:shd w:val="clear" w:color="auto" w:fill="F4F6F9"/>
          </w:tcPr>
          <w:p>
            <w:r>
              <w:rPr>
                <w:rFonts w:ascii="Times New Roman" w:hAnsi="Times New Roman"/>
                <w:sz w:val="18"/>
              </w:rPr>
              <w:t>Hóa học &amp; Hóa dược</w:t>
            </w:r>
          </w:p>
        </w:tc>
        <w:tc>
          <w:tcPr>
            <w:tcW w:type="dxa" w:w="1728"/>
            <w:shd w:val="clear" w:color="auto" w:fill="FFFFFF"/>
          </w:tcPr>
          <w:p>
            <w:r>
              <w:rPr>
                <w:rFonts w:ascii="Times New Roman" w:hAnsi="Times New Roman"/>
                <w:sz w:val="18"/>
              </w:rPr>
              <w:t>Journal of the American Chemical Society (JACS)</w:t>
            </w:r>
          </w:p>
        </w:tc>
        <w:tc>
          <w:tcPr>
            <w:tcW w:type="dxa" w:w="1728"/>
            <w:shd w:val="clear" w:color="auto" w:fill="FFFFFF"/>
          </w:tcPr>
          <w:p>
            <w:r>
              <w:rPr>
                <w:rFonts w:ascii="Times New Roman" w:hAnsi="Times New Roman"/>
                <w:sz w:val="18"/>
              </w:rPr>
              <w:t>Q1</w:t>
            </w:r>
          </w:p>
        </w:tc>
        <w:tc>
          <w:tcPr>
            <w:tcW w:type="dxa" w:w="1728"/>
            <w:shd w:val="clear" w:color="auto" w:fill="FFFFFF"/>
          </w:tcPr>
          <w:p>
            <w:r>
              <w:rPr>
                <w:rFonts w:ascii="Times New Roman" w:hAnsi="Times New Roman"/>
                <w:sz w:val="18"/>
              </w:rPr>
              <w:t>ACS</w:t>
            </w:r>
          </w:p>
        </w:tc>
        <w:tc>
          <w:tcPr>
            <w:tcW w:type="dxa" w:w="1728"/>
            <w:shd w:val="clear" w:color="auto" w:fill="FFFFFF"/>
          </w:tcPr>
          <w:p>
            <w:r>
              <w:rPr>
                <w:rFonts w:ascii="Times New Roman" w:hAnsi="Times New Roman"/>
                <w:sz w:val="18"/>
              </w:rPr>
              <w:t>Impact Factor: 15.0. Công bố các đột phá tổng hợp hữu cơ và vật liệu mới.</w:t>
            </w:r>
          </w:p>
        </w:tc>
      </w:tr>
      <w:tr>
        <w:tc>
          <w:tcPr>
            <w:tcW w:type="dxa" w:w="1728"/>
            <w:shd w:val="clear" w:color="auto" w:fill="F4F6F9"/>
          </w:tcPr>
          <w:p>
            <w:r>
              <w:rPr>
                <w:rFonts w:ascii="Times New Roman" w:hAnsi="Times New Roman"/>
                <w:sz w:val="18"/>
              </w:rPr>
              <w:t>Sinh học &amp; CNSH</w:t>
            </w:r>
          </w:p>
        </w:tc>
        <w:tc>
          <w:tcPr>
            <w:tcW w:type="dxa" w:w="1728"/>
            <w:shd w:val="clear" w:color="auto" w:fill="FFFFFF"/>
          </w:tcPr>
          <w:p>
            <w:r>
              <w:rPr>
                <w:rFonts w:ascii="Times New Roman" w:hAnsi="Times New Roman"/>
                <w:sz w:val="18"/>
              </w:rPr>
              <w:t>Nature Communications</w:t>
            </w:r>
          </w:p>
        </w:tc>
        <w:tc>
          <w:tcPr>
            <w:tcW w:type="dxa" w:w="1728"/>
            <w:shd w:val="clear" w:color="auto" w:fill="FFFFFF"/>
          </w:tcPr>
          <w:p>
            <w:r>
              <w:rPr>
                <w:rFonts w:ascii="Times New Roman" w:hAnsi="Times New Roman"/>
                <w:sz w:val="18"/>
              </w:rPr>
              <w:t>Q1</w:t>
            </w:r>
          </w:p>
        </w:tc>
        <w:tc>
          <w:tcPr>
            <w:tcW w:type="dxa" w:w="1728"/>
            <w:shd w:val="clear" w:color="auto" w:fill="FFFFFF"/>
          </w:tcPr>
          <w:p>
            <w:r>
              <w:rPr>
                <w:rFonts w:ascii="Times New Roman" w:hAnsi="Times New Roman"/>
                <w:sz w:val="18"/>
              </w:rPr>
              <w:t>Nature Portfolio</w:t>
            </w:r>
          </w:p>
        </w:tc>
        <w:tc>
          <w:tcPr>
            <w:tcW w:type="dxa" w:w="1728"/>
            <w:shd w:val="clear" w:color="auto" w:fill="FFFFFF"/>
          </w:tcPr>
          <w:p>
            <w:r>
              <w:rPr>
                <w:rFonts w:ascii="Times New Roman" w:hAnsi="Times New Roman"/>
                <w:sz w:val="18"/>
              </w:rPr>
              <w:t>Tạp chí đa ngành mở công bố các công trình sinh học phân tử và y sinh học.</w:t>
            </w:r>
          </w:p>
        </w:tc>
      </w:tr>
      <w:tr>
        <w:tc>
          <w:tcPr>
            <w:tcW w:type="dxa" w:w="1728"/>
            <w:shd w:val="clear" w:color="auto" w:fill="F4F6F9"/>
          </w:tcPr>
          <w:p>
            <w:r>
              <w:rPr>
                <w:rFonts w:ascii="Times New Roman" w:hAnsi="Times New Roman"/>
                <w:sz w:val="18"/>
              </w:rPr>
              <w:t>Môi trường &amp; Biến đổi khí hậu</w:t>
            </w:r>
          </w:p>
        </w:tc>
        <w:tc>
          <w:tcPr>
            <w:tcW w:type="dxa" w:w="1728"/>
            <w:shd w:val="clear" w:color="auto" w:fill="FFFFFF"/>
          </w:tcPr>
          <w:p>
            <w:r>
              <w:rPr>
                <w:rFonts w:ascii="Times New Roman" w:hAnsi="Times New Roman"/>
                <w:sz w:val="18"/>
              </w:rPr>
              <w:t>Science of The Total Environment</w:t>
            </w:r>
          </w:p>
        </w:tc>
        <w:tc>
          <w:tcPr>
            <w:tcW w:type="dxa" w:w="1728"/>
            <w:shd w:val="clear" w:color="auto" w:fill="FFFFFF"/>
          </w:tcPr>
          <w:p>
            <w:r>
              <w:rPr>
                <w:rFonts w:ascii="Times New Roman" w:hAnsi="Times New Roman"/>
                <w:sz w:val="18"/>
              </w:rPr>
              <w:t>Q1</w:t>
            </w:r>
          </w:p>
        </w:tc>
        <w:tc>
          <w:tcPr>
            <w:tcW w:type="dxa" w:w="1728"/>
            <w:shd w:val="clear" w:color="auto" w:fill="FFFFFF"/>
          </w:tcPr>
          <w:p>
            <w:r>
              <w:rPr>
                <w:rFonts w:ascii="Times New Roman" w:hAnsi="Times New Roman"/>
                <w:sz w:val="18"/>
              </w:rPr>
              <w:t>Elsevier</w:t>
            </w:r>
          </w:p>
        </w:tc>
        <w:tc>
          <w:tcPr>
            <w:tcW w:type="dxa" w:w="1728"/>
            <w:shd w:val="clear" w:color="auto" w:fill="FFFFFF"/>
          </w:tcPr>
          <w:p>
            <w:r>
              <w:rPr>
                <w:rFonts w:ascii="Times New Roman" w:hAnsi="Times New Roman"/>
                <w:sz w:val="18"/>
              </w:rPr>
              <w:t>Nghiên cứu ô nhiễm không khí, kim loại nặng và quản lý tài nguyên nước.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