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Arial" w:hAnsi="Arial"/>
          <w:b/>
          <w:color w:val="003366"/>
          <w:sz w:val="38"/>
        </w:rPr>
        <w:t>HỒ SƠ THIẾT KẾ AGENT: GPA &amp; ACADEMIC STANDING AGENT</w:t>
      </w:r>
    </w:p>
    <w:p>
      <w:pPr>
        <w:spacing w:after="360"/>
        <w:jc w:val="center"/>
      </w:pPr>
      <w:r>
        <w:rPr>
          <w:rFonts w:ascii="Arial" w:hAnsi="Arial"/>
          <w:i/>
          <w:color w:val="555555"/>
          <w:sz w:val="22"/>
        </w:rPr>
        <w:t>HCMUS Smart Campus – Sub-space 01: Học vụ &amp; Đào tạo</w:t>
        <w:br/>
        <w:t>Track A – 2026 Global AI Agent Competition – Wesome AI Platform</w:t>
      </w:r>
    </w:p>
    <w:p>
      <w:pPr>
        <w:keepNext/>
        <w:spacing w:before="360" w:after="160"/>
      </w:pPr>
      <w:r>
        <w:rPr>
          <w:rFonts w:ascii="Arial" w:hAnsi="Arial"/>
          <w:b/>
          <w:color w:val="003366"/>
          <w:sz w:val="30"/>
        </w:rPr>
        <w:t>1. THÔNG TIN ĐỊNH DANH &amp; CẤU HÌNH CƠ BẢN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Thuộc tính</w:t>
            </w:r>
          </w:p>
        </w:tc>
        <w:tc>
          <w:tcPr>
            <w:tcW w:type="dxa" w:w="61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Giá trị cấu hình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Tên Agent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GPA &amp; Academic Standing Agent (Trợ lý Điểm số, Tính GPA Môn học &amp; Tình trạng Học vụ)</w:t>
            </w:r>
          </w:p>
        </w:tc>
      </w:tr>
      <w:tr>
        <w:tc>
          <w:tcPr>
            <w:tcW w:type="dxa" w:w="3168"/>
            <w:shd w:fill="F4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Mã định danh</w:t>
            </w:r>
          </w:p>
        </w:tc>
        <w:tc>
          <w:tcPr>
            <w:tcW w:type="dxa" w:w="6192"/>
            <w:shd w:fill="F4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gpa-academic-standing-agent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Không gian cha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HCMUS Smart Campus – AI University Life Hub</w:t>
            </w:r>
          </w:p>
        </w:tc>
      </w:tr>
      <w:tr>
        <w:tc>
          <w:tcPr>
            <w:tcW w:type="dxa" w:w="3168"/>
            <w:shd w:fill="F4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Phân vùng chức năng</w:t>
            </w:r>
          </w:p>
        </w:tc>
        <w:tc>
          <w:tcPr>
            <w:tcW w:type="dxa" w:w="6192"/>
            <w:shd w:fill="F4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Sub-space 01 – HỌC VỤ &amp; ĐÀO TẠO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Vị trí tương tác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Tiếp nhận các truy vấn về điểm số, yêu cầu tính GPA học kỳ từ danh sách môn học tự nhập, mô phỏng What-if nâng GPA, cảnh báo học vụ và điều kiện tốt nghiệp.</w:t>
            </w:r>
          </w:p>
        </w:tc>
      </w:tr>
      <w:tr>
        <w:tc>
          <w:tcPr>
            <w:tcW w:type="dxa" w:w="3168"/>
            <w:shd w:fill="F4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Đối tượng phục vụ</w:t>
            </w:r>
          </w:p>
        </w:tc>
        <w:tc>
          <w:tcPr>
            <w:tcW w:type="dxa" w:w="6192"/>
            <w:shd w:fill="F4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Toàn thể sinh viên đại học hệ chính quy HCMUS (khoa CNTT, Toán, Hóa, Sinh, Vật lý, Điện tử, Môi trường...).</w:t>
            </w:r>
          </w:p>
        </w:tc>
      </w:tr>
    </w:tbl>
    <w:p>
      <w:pPr>
        <w:spacing w:after="80"/>
      </w:pPr>
    </w:p>
    <w:p>
      <w:pPr>
        <w:keepNext/>
        <w:spacing w:before="360" w:after="160"/>
      </w:pPr>
      <w:r>
        <w:rPr>
          <w:rFonts w:ascii="Arial" w:hAnsi="Arial"/>
          <w:b/>
          <w:color w:val="003366"/>
          <w:sz w:val="30"/>
        </w:rPr>
        <w:t>2. MÔ HÌNH VẬN HÀNH THỰC TẾ &amp; GUARDRAILS AN TOÀN</w:t>
      </w:r>
    </w:p>
    <w:p>
      <w:pPr>
        <w:spacing w:after="80" w:line="276" w:lineRule="auto"/>
      </w:pPr>
      <w:r>
        <w:rPr>
          <w:rFonts w:ascii="Arial" w:hAnsi="Arial"/>
          <w:b/>
          <w:sz w:val="20"/>
        </w:rPr>
        <w:t xml:space="preserve">NGUYÊN TẮC BẢO MẬT &amp; KIẾN TRÚC: </w:t>
      </w:r>
      <w:r>
        <w:rPr>
          <w:rFonts w:ascii="Arial" w:hAnsi="Arial"/>
          <w:i w:val="0"/>
          <w:sz w:val="20"/>
        </w:rPr>
        <w:t>GPA Agent vận hành theo cơ chế Tự Cung Cấp Dữ Liệu (Student-Provided Data) kết hợp Bộ Tính Toán Môn Học Chính Xác (Course-Level GPA Calculator). Agent TUYỆT ĐỐI KHÔNG can thiệp hoặc giả mạo kết nối API vào cơ sở dữ liệu SIS/Portal của Nhà trường để đảm bảo an toàn thông tin và quyền riêng tư sinh viên.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color="003366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</w:pPr>
            <w:r>
              <w:rPr>
                <w:rFonts w:ascii="Arial" w:hAnsi="Arial"/>
                <w:b/>
                <w:color w:val="003366"/>
                <w:sz w:val="20"/>
              </w:rPr>
              <w:t xml:space="preserve">🛡 GUARDRAILS AN TOÀN BẮT BUỘC: </w:t>
            </w:r>
            <w:r>
              <w:rPr>
                <w:rFonts w:ascii="Arial" w:hAnsi="Arial"/>
                <w:sz w:val="19"/>
              </w:rPr>
              <w:t>Agent TUYỆT ĐỐI KHÔNG: (1) yêu cầu cung cấp mật khẩu Portal; (2) cam đoan kết quả học vụ mang tính pháp lý thay thế thông báo chính thức của Phòng Đào tạo; (3) tính sai các môn bị loại trừ theo Điều 15 (GDQP-AN, GDTC, AV1-4, THCS). Agent luôn nhắc nhở sinh viên đối chiếu với bảng điểm chính thức trên Portal.</w:t>
            </w:r>
          </w:p>
        </w:tc>
      </w:tr>
    </w:tbl>
    <w:p>
      <w:pPr>
        <w:spacing w:after="80"/>
      </w:pPr>
    </w:p>
    <w:p>
      <w:pPr>
        <w:keepNext/>
        <w:spacing w:before="360" w:after="160"/>
      </w:pPr>
      <w:r>
        <w:rPr>
          <w:rFonts w:ascii="Arial" w:hAnsi="Arial"/>
          <w:b/>
          <w:color w:val="003366"/>
          <w:sz w:val="30"/>
        </w:rPr>
        <w:t>3. CÁC TÍNH NĂNG TÍNH TOÁN CỐT LÕI (CORE CAPABILITIES)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3.1 Tính Năng 1: Course-Level Semester GPA Calculator (Tính GPA Học kỳ từ Danh sách Môn học)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Sinh viên chỉ cần gửi danh sách môn học, số tín chỉ và điểm đạt được (theo thang 10 hoặc thang chữ). Agent tự động thực hiện quy trình 6 bước: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Bước 1 - Bóc tách dữ liệu: Trích xuất Tên môn, Số tín chỉ (credits), Điểm học phần từ văn bản tự nhiên sinh viên nhập.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Bước 2 - Bộ lọc loại trừ quy chế (Điều 15 Khoản 1c): Tự động phát hiện và loại trừ môn GDQP-AN, GDTC, Ngoại ngữ tổng quát (AV1, AV2, AV3, AV4), Tin học cơ sở khỏi mẫu số tính GPA.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Bước 3 - Quy đổi thang điểm: Chuyển đổi điểm từng môn từ Thang 10 -&gt; Điểm chữ -&gt; Thang 4 theo Điều 11 QĐ 1175.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Bước 4 - Tính GPA song song: Tính SGPA Thang 10 = Σ(Điểm 10 × ni) / Σ ni và SGPA Thang 4 = Σ(Điểm hệ 4 × ni) / Σ ni.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Bước 5 - Xếp loại học lực kỳ: Đối chiếu bảng K2021+ (Xuất sắc &gt;= 9.0/3.6, Giỏi &gt;= 8.0/3.2, Khá &gt;= 7.0/2.8, Trung bình &gt;= 5.0/1.6, Yếu, Kém).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Bước 6 - Kiểm tra học vụ &amp; Học bổng: Cảnh báo nếu TC đạt &lt; 7 hoặc GPA &lt; 3.0; Đánh giá triển vọng học bổng Khuyến khích Học tập (KKHT) nếu đạt loại Khá/Giỏi/Xuất sắc và DRL Tốt.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3.2 Ví dụ Minh Họa Tính Năng Nhập Môn Thực Tế</w:t>
      </w:r>
    </w:p>
    <w:p>
      <w:pPr>
        <w:spacing w:after="80" w:line="276" w:lineRule="auto"/>
      </w:pPr>
      <w:r>
        <w:rPr>
          <w:rFonts w:ascii="Arial" w:hAnsi="Arial"/>
          <w:b/>
          <w:sz w:val="20"/>
        </w:rPr>
        <w:t xml:space="preserve">Yêu cầu của sinh viên: </w:t>
      </w:r>
      <w:r>
        <w:rPr>
          <w:rFonts w:ascii="Arial" w:hAnsi="Arial"/>
          <w:i w:val="0"/>
          <w:sz w:val="20"/>
        </w:rPr>
        <w:t>Kịch bản: Sinh viên gửi truy vấn:</w:t>
      </w:r>
    </w:p>
    <w:p>
      <w:pPr>
        <w:spacing w:after="80" w:line="276" w:lineRule="auto"/>
      </w:pPr>
      <w:r>
        <w:rPr>
          <w:rFonts w:ascii="Arial" w:hAnsi="Arial"/>
          <w:i/>
          <w:sz w:val="20"/>
        </w:rPr>
        <w:t>«Kỳ này em học: Giải tích 1 (4TC) 8.5, ĐSTT (4TC) 7.0, NMLT (4TC) 9.0, Triết học Mác-Lênin (3TC) 8.0, Anh văn 1 (3TC) 8.5, Thể dục 1 (2TC) 9.0. Tính GPA học kỳ giúp em với!»</w:t>
      </w:r>
    </w:p>
    <w:p>
      <w:pPr>
        <w:spacing w:after="80" w:line="276" w:lineRule="auto"/>
      </w:pPr>
      <w:r>
        <w:rPr>
          <w:rFonts w:ascii="Arial" w:hAnsi="Arial"/>
          <w:b/>
          <w:sz w:val="20"/>
        </w:rPr>
        <w:t xml:space="preserve">Kết quả tính toán chuẩn hóa: </w:t>
      </w:r>
      <w:r>
        <w:rPr>
          <w:rFonts w:ascii="Arial" w:hAnsi="Arial"/>
          <w:i w:val="0"/>
          <w:sz w:val="20"/>
        </w:rPr>
        <w:t>Bảng xử lý của Agent: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304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Môn học</w:t>
            </w:r>
          </w:p>
        </w:tc>
        <w:tc>
          <w:tcPr>
            <w:tcW w:type="dxa" w:w="864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Số TC</w:t>
            </w:r>
          </w:p>
        </w:tc>
        <w:tc>
          <w:tcPr>
            <w:tcW w:type="dxa" w:w="115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Điểm 10</w:t>
            </w:r>
          </w:p>
        </w:tc>
        <w:tc>
          <w:tcPr>
            <w:tcW w:type="dxa" w:w="115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Điểm chữ</w:t>
            </w:r>
          </w:p>
        </w:tc>
        <w:tc>
          <w:tcPr>
            <w:tcW w:type="dxa" w:w="115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Điểm hệ 4</w:t>
            </w:r>
          </w:p>
        </w:tc>
        <w:tc>
          <w:tcPr>
            <w:tcW w:type="dxa" w:w="172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Tính GPA?</w:t>
            </w:r>
          </w:p>
        </w:tc>
        <w:tc>
          <w:tcPr>
            <w:tcW w:type="dxa" w:w="1584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Điểm × TC (Hệ 10)</w:t>
            </w:r>
          </w:p>
        </w:tc>
        <w:tc>
          <w:tcPr>
            <w:tcW w:type="dxa" w:w="1584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Điểm × TC (Hệ 4)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Giải tích 1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8.5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A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3.5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CÓ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34.0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14.0</w:t>
            </w:r>
          </w:p>
        </w:tc>
      </w:tr>
      <w:tr>
        <w:tc>
          <w:tcPr>
            <w:tcW w:type="dxa" w:w="2304"/>
            <w:shd w:fill="F4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Đại số tuyến tính</w:t>
            </w:r>
          </w:p>
        </w:tc>
        <w:tc>
          <w:tcPr>
            <w:tcW w:type="dxa" w:w="864"/>
            <w:shd w:fill="F4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152"/>
            <w:shd w:fill="F4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7.0</w:t>
            </w:r>
          </w:p>
        </w:tc>
        <w:tc>
          <w:tcPr>
            <w:tcW w:type="dxa" w:w="1152"/>
            <w:shd w:fill="F4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B</w:t>
            </w:r>
          </w:p>
        </w:tc>
        <w:tc>
          <w:tcPr>
            <w:tcW w:type="dxa" w:w="1152"/>
            <w:shd w:fill="F4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2.5</w:t>
            </w:r>
          </w:p>
        </w:tc>
        <w:tc>
          <w:tcPr>
            <w:tcW w:type="dxa" w:w="1728"/>
            <w:shd w:fill="F4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CÓ</w:t>
            </w:r>
          </w:p>
        </w:tc>
        <w:tc>
          <w:tcPr>
            <w:tcW w:type="dxa" w:w="1584"/>
            <w:shd w:fill="F4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28.0</w:t>
            </w:r>
          </w:p>
        </w:tc>
        <w:tc>
          <w:tcPr>
            <w:tcW w:type="dxa" w:w="1584"/>
            <w:shd w:fill="F4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10.0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Nhập môn lập trình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9.0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A+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4.0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CÓ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36.0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16.0</w:t>
            </w:r>
          </w:p>
        </w:tc>
      </w:tr>
      <w:tr>
        <w:tc>
          <w:tcPr>
            <w:tcW w:type="dxa" w:w="2304"/>
            <w:shd w:fill="F4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Triết học Mác-Lênin</w:t>
            </w:r>
          </w:p>
        </w:tc>
        <w:tc>
          <w:tcPr>
            <w:tcW w:type="dxa" w:w="864"/>
            <w:shd w:fill="F4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152"/>
            <w:shd w:fill="F4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8.0</w:t>
            </w:r>
          </w:p>
        </w:tc>
        <w:tc>
          <w:tcPr>
            <w:tcW w:type="dxa" w:w="1152"/>
            <w:shd w:fill="F4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B+</w:t>
            </w:r>
          </w:p>
        </w:tc>
        <w:tc>
          <w:tcPr>
            <w:tcW w:type="dxa" w:w="1152"/>
            <w:shd w:fill="F4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3.0</w:t>
            </w:r>
          </w:p>
        </w:tc>
        <w:tc>
          <w:tcPr>
            <w:tcW w:type="dxa" w:w="1728"/>
            <w:shd w:fill="F4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CÓ</w:t>
            </w:r>
          </w:p>
        </w:tc>
        <w:tc>
          <w:tcPr>
            <w:tcW w:type="dxa" w:w="1584"/>
            <w:shd w:fill="F4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24.0</w:t>
            </w:r>
          </w:p>
        </w:tc>
        <w:tc>
          <w:tcPr>
            <w:tcW w:type="dxa" w:w="1584"/>
            <w:shd w:fill="F4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9.0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Anh văn 1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8.5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A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3.5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KHÔNG (Điều 15)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2304"/>
            <w:shd w:fill="F4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Giáo dục thể chất 1</w:t>
            </w:r>
          </w:p>
        </w:tc>
        <w:tc>
          <w:tcPr>
            <w:tcW w:type="dxa" w:w="864"/>
            <w:shd w:fill="F4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152"/>
            <w:shd w:fill="F4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9.0</w:t>
            </w:r>
          </w:p>
        </w:tc>
        <w:tc>
          <w:tcPr>
            <w:tcW w:type="dxa" w:w="1152"/>
            <w:shd w:fill="F4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A+</w:t>
            </w:r>
          </w:p>
        </w:tc>
        <w:tc>
          <w:tcPr>
            <w:tcW w:type="dxa" w:w="1152"/>
            <w:shd w:fill="F4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4.0</w:t>
            </w:r>
          </w:p>
        </w:tc>
        <w:tc>
          <w:tcPr>
            <w:tcW w:type="dxa" w:w="1728"/>
            <w:shd w:fill="F4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KHÔNG (Điều 15)</w:t>
            </w:r>
          </w:p>
        </w:tc>
        <w:tc>
          <w:tcPr>
            <w:tcW w:type="dxa" w:w="1584"/>
            <w:shd w:fill="F4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84"/>
            <w:shd w:fill="F4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TỔNG CỘNG TÍNH GPA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15 TC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122.0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49.0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• Tổng tín chỉ tính GPA: 4 + 4 + 4 + 3 = 15 tín chỉ (đã loại 3 TC Anh văn 1 và 2 TC Thể dục 1).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• GPA học kỳ Thang 10: 122.0 / 15 = 8.13 / 10.0.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• GPA học kỳ Thang 4: 49.0 / 15 = 3.27 / 4.0.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• Xếp loại học lực học kỳ: GIỎI (Áp dụng khóa K2021+).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• Tình trạng học vụ: An toàn tuyệt đối (Đạt 15 TC &gt; 7 TC, GPA 8.13 &gt; 3.0).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• Cơ hội Học bổng KKHT: ĐỦ ĐIỀU KIỆN VỀ ĐIỂM HỌC TẬP để xét Học bổng loại Giỏi (nếu Điểm rèn luyện kỳ này đạt loại Tốt &gt;= 80 điểm trở lên và không nợ học phí).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3.3 Tính Năng 2: What-if Simulation Engine (Mô Phỏng GPA Tích Lũy)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Nhận 4 tham số: CGPA hiện tại, Tổng TC đã đạt, TC kỳ tới, Điểm kỳ vọng -&gt; Tính toán CGPA mới và xác định điểm môn học tối thiểu cần đạt để nâng hạng học lực hoặc thoát cảnh báo.</w:t>
      </w:r>
    </w:p>
    <w:p>
      <w:pPr>
        <w:keepNext/>
        <w:spacing w:before="360" w:after="160"/>
      </w:pPr>
      <w:r>
        <w:rPr>
          <w:rFonts w:ascii="Arial" w:hAnsi="Arial"/>
          <w:b/>
          <w:color w:val="003366"/>
          <w:sz w:val="30"/>
        </w:rPr>
        <w:t>4. PHONG CÁCH GIAO TIẾP &amp; BỘ NGUYÊN TẮC PHẢN HỒI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Tính minh bạch: </w:t>
      </w:r>
      <w:r>
        <w:rPr>
          <w:rFonts w:ascii="Arial" w:hAnsi="Arial"/>
          <w:sz w:val="20"/>
        </w:rPr>
        <w:t>Minh bạch tuyệt đối: Luôn trình bày công thức, chỉ rõ môn nào được tính, môn nào bị loại trừ theo quy chế, kèm bảng chi tiết từng môn.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Nguyên tắc cảnh báo: </w:t>
      </w:r>
      <w:r>
        <w:rPr>
          <w:rFonts w:ascii="Arial" w:hAnsi="Arial"/>
          <w:sz w:val="20"/>
        </w:rPr>
        <w:t>Chủ động kiểm tra rủi ro: Bất kể khi nào tính GPA kỳ, luôn tự động kiểm tra số tín chỉ đạt (&lt; 7 TC) và GPA kỳ (&lt; 3.0) để cảnh báo học vụ sớm cho sinh viên.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Hỗ trợ phát triển: </w:t>
      </w:r>
      <w:r>
        <w:rPr>
          <w:rFonts w:ascii="Arial" w:hAnsi="Arial"/>
          <w:sz w:val="20"/>
        </w:rPr>
        <w:t>Khích lệ và hướng dẫn cụ thể: Nếu sinh viên đạt điểm cao, tự động nhắc nhở cơ hội học bổng KKHT kèm điều kiện DRL cần đạt.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