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CẨM NANG TRI THỨC CỐ VẤN HỌC VỤ: LỘ TRÌNH ĐÀO TẠO &amp; QUY CHẾ TÍN CHỈ HCMUS</w:t>
      </w:r>
    </w:p>
    <w:p>
      <w:pPr>
        <w:jc w:val="center"/>
      </w:pPr>
      <w:r>
        <w:rPr>
          <w:rFonts w:ascii="Arial" w:hAnsi="Arial"/>
          <w:color w:val="646464"/>
          <w:sz w:val="20"/>
        </w:rPr>
        <w:t>TRƯỜNG ĐẠI HỌC KHOA HỌC TỰ NHIÊN - ĐHQG-HCM</w:t>
        <w:br/>
        <w:t>HỆ THỐNG TRỢ LÝ THÔNG MINH HCMUS SMART CAMPUS</w:t>
      </w:r>
    </w:p>
    <w:tbl>
      <w:tblPr>
        <w:tblW w:type="auto" w:w="0"/>
        <w:jc w:val="center"/>
        <w:tblLook w:firstColumn="1" w:firstRow="1" w:lastColumn="0" w:lastRow="0" w:noHBand="0" w:noVBand="1" w:val="04A0"/>
      </w:tblPr>
      <w:tblGrid>
        <w:gridCol w:w="9936"/>
      </w:tblGrid>
      <w:tr>
        <w:tc>
          <w:tcPr>
            <w:tcW w:type="dxa" w:w="9936"/>
            <w:shd w:val="clear" w:color="auto" w:fill="F0F4F8"/>
            <w:tcMar>
              <w:top w:w="120" w:type="dxa"/>
              <w:bottom w:w="120" w:type="dxa"/>
              <w:left w:w="180" w:type="dxa"/>
              <w:right w:w="180" w:type="dxa"/>
            </w:tcMar>
          </w:tcPr>
          <w:p>
            <w:pPr>
              <w:spacing w:before="40" w:after="40"/>
            </w:pPr>
            <w:r>
              <w:rPr>
                <w:rFonts w:ascii="Arial" w:hAnsi="Arial"/>
                <w:b/>
                <w:color w:val="003366"/>
                <w:sz w:val="19"/>
              </w:rPr>
              <w:t xml:space="preserve">📌 MỤC TIÊU &amp; PHẠM VI NGHIỆP VỤ AGENT: </w:t>
            </w:r>
            <w:r>
              <w:rPr>
                <w:rFonts w:ascii="Arial" w:hAnsi="Arial"/>
                <w:color w:val="323232"/>
                <w:sz w:val="19"/>
              </w:rPr>
              <w:t>Tài liệu cơ sở tri thức chính thức dành riêng cho Academic Advisor Agent - Trợ lý Cố vấn Học vụ và Định hướng Lộ trình Đào tạo tại Trường Đại học Khoa học Tự nhiên, ĐHQG-HCM. Tập trung sâu vào phân loại học phần, hạn mức tín chỉ, quy chế bảo lưu/nghỉ học tạm thời, chuyển ngành, học song bằng hai chương trình, chuyển đổi chương trình Chuẩn - Đề án, công nhận tín chỉ trao đổi quốc tế, ma trận môn tiên quyết then chốt, điều kiện làm Khóa luận tốt nghiệp và giải đáp 10 ca học vụ thực tế.</w:t>
            </w:r>
          </w:p>
        </w:tc>
      </w:tr>
    </w:tbl>
    <w:p>
      <w:pPr>
        <w:spacing w:before="0" w:after="40"/>
      </w:pPr>
    </w:p>
    <w:p>
      <w:pPr>
        <w:keepNext/>
        <w:spacing w:before="280" w:after="80"/>
      </w:pPr>
      <w:r>
        <w:rPr>
          <w:rFonts w:ascii="Arial" w:hAnsi="Arial"/>
          <w:b/>
          <w:color w:val="003366"/>
          <w:sz w:val="26"/>
        </w:rPr>
        <w:t>PHẦN 1: KHUNG LÝ THUYẾT CỐ VẤN HỌC VỤ &amp; NGUYÊN TẮC QUẢN TRỊ ĐÀO TẠO TÍN CHỈ</w:t>
      </w:r>
    </w:p>
    <w:p>
      <w:pPr>
        <w:spacing w:before="40" w:after="60" w:line="276" w:lineRule="auto"/>
      </w:pPr>
      <w:r>
        <w:rPr>
          <w:rFonts w:ascii="Arial" w:hAnsi="Arial"/>
          <w:b/>
          <w:color w:val="1E1E1E"/>
          <w:sz w:val="20"/>
        </w:rPr>
        <w:t xml:space="preserve">1. Triết lý đào tạo tín chỉ: </w:t>
      </w:r>
      <w:r>
        <w:rPr>
          <w:rFonts w:ascii="Arial" w:hAnsi="Arial"/>
          <w:color w:val="282828"/>
          <w:sz w:val="20"/>
        </w:rPr>
        <w:t>Căn cứ Quy chế đào tạo trình độ đại học theo học chế tín chỉ ban hành kèm Quyết định số 1175/QĐ-KHTN của Hiệu trưởng Trường Đại học Khoa học Tự nhiên - ĐHQG-HCM và Sổ tay Sinh viên 2025. Đào tạo theo học chế tín chỉ lấy người học làm trung tâm, trao quyền chủ động tuyệt đối cho sinh viên trong việc xây dựng tiến độ học tập phù hợp với năng lực và mục tiêu cá nhân.</w:t>
      </w:r>
    </w:p>
    <w:p>
      <w:pPr>
        <w:spacing w:before="40" w:after="60" w:line="276" w:lineRule="auto"/>
      </w:pPr>
      <w:r>
        <w:rPr>
          <w:rFonts w:ascii="Arial" w:hAnsi="Arial"/>
          <w:b/>
          <w:color w:val="1E1E1E"/>
          <w:sz w:val="20"/>
        </w:rPr>
        <w:t xml:space="preserve">2. Khung thời gian hoàn thành khóa học: </w:t>
      </w:r>
      <w:r>
        <w:rPr>
          <w:rFonts w:ascii="Arial" w:hAnsi="Arial"/>
          <w:color w:val="282828"/>
          <w:sz w:val="20"/>
        </w:rPr>
        <w:t>Thời gian đào tạo chuẩn theo kế hoạch là 04 năm học (tương đương 08 học kỳ chính). Thời gian tối đa để hoàn thành chương trình đào tạo là 08 năm học (gấp đôi thời gian thiết kế). Sinh viên có quyền học vượt để tốt nghiệp sớm trong 3.0 đến 3.5 năm nếu có năng lực học tập xuất sắc và sắp xếp thời khóa biểu hợp lý.</w:t>
      </w:r>
    </w:p>
    <w:p>
      <w:pPr>
        <w:spacing w:before="40" w:after="60" w:line="276" w:lineRule="auto"/>
      </w:pPr>
      <w:r>
        <w:rPr>
          <w:rFonts w:ascii="Arial" w:hAnsi="Arial"/>
          <w:b/>
          <w:color w:val="1E1E1E"/>
          <w:sz w:val="20"/>
        </w:rPr>
        <w:t xml:space="preserve">3. Trách nhiệm của Cố vấn học vụ: </w:t>
      </w:r>
      <w:r>
        <w:rPr>
          <w:rFonts w:ascii="Arial" w:hAnsi="Arial"/>
          <w:color w:val="282828"/>
          <w:sz w:val="20"/>
        </w:rPr>
        <w:t>Cố vấn học vụ (CVHV) là cán bộ giảng viên được Khoa phân công theo sát từng lớp sinh viên từ năm nhất đến khi tốt nghiệp. Sinh viên bắt buộc phải tham vấn ý kiến CVHV khi: đăng ký vượt quá hạn mức tín chỉ, bị rơi vào diện cảnh báo học vụ, nộp đơn xin chuyển ngành, xin học cùng lúc hai chương trình hoặc xin nghỉ học tạm thời.</w:t>
      </w:r>
    </w:p>
    <w:p>
      <w:pPr>
        <w:keepNext/>
        <w:spacing w:before="280" w:after="80"/>
      </w:pPr>
      <w:r>
        <w:rPr>
          <w:rFonts w:ascii="Arial" w:hAnsi="Arial"/>
          <w:b/>
          <w:color w:val="003366"/>
          <w:sz w:val="26"/>
        </w:rPr>
        <w:t>PHẦN 2: BẢNG PHÂN LOẠI CÁC LOẠI HỌC PHẦN TRONG CHƯƠNG TRÌNH ĐÀO TẠO</w:t>
      </w:r>
    </w:p>
    <w:p>
      <w:pPr>
        <w:spacing w:before="40" w:after="60" w:line="276" w:lineRule="auto"/>
      </w:pPr>
      <w:r>
        <w:rPr>
          <w:rFonts w:ascii="Arial" w:hAnsi="Arial"/>
          <w:color w:val="282828"/>
          <w:sz w:val="20"/>
        </w:rPr>
        <w:t>Trong chương trình đào tạo của HCMUS, các học phần được phân định rành mạch với những điều kiện ràng buộc học vụ nghiêm ngặt: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Loại Học Phần</w:t>
            </w:r>
          </w:p>
        </w:tc>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Định Nghĩa Bản Chất Học Vụ</w:t>
            </w:r>
          </w:p>
        </w:tc>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Điều Kiện Đăng Ký &amp; Ràng Buộc Tiên Quyết</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Hệ Quả Khi Bị Điểm F (Rớt Môn)</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phần Bắt buộc</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Học phần chứa đựng kiến thức cốt lõi của ngành, chuyên ngành; mọi sinh viên theo ngành bắt buộc phải hoàn thành.</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Phải đăng ký theo đúng tiến độ lộ trình hoặc học lại ngay khi môn học được mở lớp ở kỳ tiếp theo.</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BẮT BUỘC phải đăng ký học lại chính học phần đó cho đến khi đạt điểm D trở lên.</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Học phần Tự chọn</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Học phần sinh viên được tự do lựa chọn trong danh mục chuyên ngành để tích lũy đủ số tín chỉ quy định của nhóm kiến thức.</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Phải đáp ứng đủ các môn điều kiện tiên quyết của môn tự chọn đó.</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Được phép học lại môn đó HOẶC chọn đăng ký một môn tự chọn khác cùng nhóm để thay thế tín chỉ.</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phần Tiên quyết</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Học phần A là tiên quyết của học phần B: Sinh viên phải tích lũy học phần A (đạt điểm ≥ 5.0 thang 10) mới được đăng ký B.</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Hệ thống tự động khóa đăng ký học phần B nếu sinh viên chưa hoàn thành học phần A với điểm số đạt yêu cầu.</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Nếu rớt môn tiên quyết A, sinh viên bị hoãn đăng ký tất cả các môn B phụ thuộc ở kỳ sau.</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Học phần Học trước</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Học phần A là học trước của học phần B: Sinh viên phải đã tham dự học và dự thi học phần A (không bắt buộc phải đạt).</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Chỉ cần có điểm tổng kết của môn A trên hệ thống (kể cả điểm rớt D hoặc F) là được phép đăng ký học phần B.</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Sinh viên được đăng ký môn B song song với việc sắp xếp học lại môn A sau này.</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phần Song hành</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Học phần A và B phải được học đồng thời trong cùng một học kỳ (ví dụ: Lý thuyết và Thực hành bổ trợ lẫn nhau).</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Hệ thống yêu cầu sinh viên phải chọn cả hai mã môn trong cùng một đợt đăng ký (trừ khi đã tích lũy 1 trong 2 môn từ trước).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Nếu rớt 1 trong 2 môn thì chỉ phải học lại đúng môn bị rớt ở các kỳ tiếp theo.</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Học phần Tương đương</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Học phần có khối lượng và nội dung kiến thức tương đồng từ 80% trở lên thuộc CTĐT khác hoặc khóa mới thay thế khóa cũ.</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Được xét duyệt công nhận giá trị điểm và tín chỉ thay thế tương đương qua đơn đề nghị gửi Phòng Đào tạo.</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Điểm môn tương đương sẽ thay thế giá trị môn cũ trên bảng điểm.</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phần Thay thế</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Học phần được Khoa chỉ định cho sinh viên học để thay thế cho một học phần trong CTĐT cũ không còn tổ chức mở lớp.</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Áp dụng cho sinh viên các khóa cũ bị trễ tiến độ cần trả nợ môn mà CTĐT hiện hành đã cập nhật thay đổi mã môn.</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Tính điểm và tích lũy tín chỉ như học phần trong chương trình.</w:t>
            </w:r>
          </w:p>
        </w:tc>
      </w:tr>
    </w:tbl>
    <w:p>
      <w:pPr>
        <w:spacing w:before="0" w:after="80"/>
      </w:pPr>
    </w:p>
    <w:p>
      <w:pPr>
        <w:keepNext/>
        <w:spacing w:before="280" w:after="80"/>
      </w:pPr>
      <w:r>
        <w:rPr>
          <w:rFonts w:ascii="Arial" w:hAnsi="Arial"/>
          <w:b/>
          <w:color w:val="003366"/>
          <w:sz w:val="26"/>
        </w:rPr>
        <w:t>PHẦN 3: BẢNG MA TRẬN MÔN HỌC TIÊN QUYẾT THEN CHỐT CÁC NGÀNH CỐT LÕI</w:t>
      </w:r>
    </w:p>
    <w:p>
      <w:pPr>
        <w:spacing w:before="40" w:after="60" w:line="276" w:lineRule="auto"/>
      </w:pPr>
      <w:r>
        <w:rPr>
          <w:rFonts w:ascii="Arial" w:hAnsi="Arial"/>
          <w:color w:val="282828"/>
          <w:sz w:val="20"/>
        </w:rPr>
        <w:t>Để tránh đứt gãy lộ trình học tập, sinh viên cần nắm vững các cặp môn tiên quyết bắt buộc (buộc phải đạt điểm tổng kết ≥ 5.0) của các ngành phổ biến: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Ngành Đào Tạo</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Môn Tiên Quyết Bắt Buộc (Môn A)</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Môn Học Bị Ràng Buộc (Môn B)</w:t>
            </w:r>
          </w:p>
        </w:tc>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Hậu Quả Học Vụ Nếu Rớt Môn A</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Công nghệ Thông tin / KHMT</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Cơ sở lập trình (CSLT)</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Kỹ thuật lập trình (KTLT)</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Không được học KTLT ở học kỳ 2; trễ toàn bộ chuỗi môn lập trình.</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Công nghệ Thông tin / KHMT</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Kỹ thuật lập trình (KTLT)</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Cấu trúc dữ liệu &amp; Giải thuật (CTDL&amp;GT)</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Không được học CTDL&amp;GT ở học kỳ 3; không thể học các môn chuyên ngành sâu.</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Công nghệ Thông tin / KTPM</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Nhập môn Công nghệ Phần mềm</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Thiết kế Phần mềm / Đồ án CNPM</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Bị hoãn đồ án chuyên ngành phần mềm năm thứ ba.</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Toán học / Toán tin</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Giải tích 1</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Giải tích 2 &amp; Phương trình vi phân</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Bị khóa toàn bộ chuỗi giải tích cao cấp và tối ưu hóa.</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Toán học / Toán tin</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Đại số tuyến tính 1</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Đại số tuyến tính 2 &amp; Cấu trúc đại số</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Không được học hình học vi phân và cấu trúc đại số.</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Hóa học / Hóa dược</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Hóa học đại cương 1</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Hóa học đại cương 2 &amp; Hóa vô cơ 1</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Không được làm thí nghiệm đại cương và các môn chuyên ngành.</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Hóa học / CNKT Hóa học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Hóa hữu cơ 1</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Hóa hữu cơ 2 &amp; Thực hành Hóa hữu cơ</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Bị hoãn toàn bộ khối thực hành hữu cơ trong phòng thí nghiệm.</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Sinh học / CNSH</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Sinh học đại cương 1</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Sinh học phân tử &amp; Di truyền học</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Bị khóa các môn công nghệ gen, vi sinh và nuôi cấy mô.</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Vật lý học / VLKT</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Vật lý đại cương 1 (Cơ - Nhiệt)</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Vật lý đại cương 2 (Điện - Quang)</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Không được học vật lý lượng tử và cơ học lý thuyết.</w:t>
            </w:r>
          </w:p>
        </w:tc>
      </w:tr>
    </w:tbl>
    <w:p>
      <w:pPr>
        <w:spacing w:before="0" w:after="80"/>
      </w:pPr>
    </w:p>
    <w:p>
      <w:pPr>
        <w:keepNext/>
        <w:spacing w:before="280" w:after="80"/>
      </w:pPr>
      <w:r>
        <w:rPr>
          <w:rFonts w:ascii="Arial" w:hAnsi="Arial"/>
          <w:b/>
          <w:color w:val="003366"/>
          <w:sz w:val="26"/>
        </w:rPr>
        <w:t>PHẦN 4: HẠN MỨC ĐĂNG KÝ TÍN CHỈ MỖI HỌC KỲ &amp; KẾ HOẠCH HỌC TẬP CÁ NHÂN</w:t>
      </w:r>
    </w:p>
    <w:p>
      <w:pPr>
        <w:keepNext/>
        <w:spacing w:before="200" w:after="60"/>
      </w:pPr>
      <w:r>
        <w:rPr>
          <w:rFonts w:ascii="Arial" w:hAnsi="Arial"/>
          <w:b/>
          <w:color w:val="006699"/>
          <w:sz w:val="23"/>
        </w:rPr>
        <w:t>1. Hạn Mức Tín Chỉ Trong Từng Học Kỳ</w:t>
      </w:r>
    </w:p>
    <w:p>
      <w:pPr>
        <w:pStyle w:val="ListBullet"/>
        <w:spacing w:before="20" w:after="40" w:line="276" w:lineRule="auto"/>
      </w:pPr>
      <w:r>
        <w:rPr>
          <w:rFonts w:ascii="Arial" w:hAnsi="Arial"/>
          <w:b/>
          <w:color w:val="1E1E1E"/>
          <w:sz w:val="20"/>
        </w:rPr>
        <w:t xml:space="preserve">• Học kỳ chính: </w:t>
      </w:r>
      <w:r>
        <w:rPr>
          <w:rFonts w:ascii="Arial" w:hAnsi="Arial"/>
          <w:color w:val="282828"/>
          <w:sz w:val="20"/>
        </w:rPr>
        <w:t>Sinh viên xếp loại học lực bình thường (CPA ≥ 2.00): Đăng ký tối thiểu 14 tín chỉ và tối đa 25 tín chỉ trong mỗi học kỳ chính (trừ học kỳ cuối khóa chỉ còn làm Khóa luận tốt nghiệp).</w:t>
      </w:r>
    </w:p>
    <w:p>
      <w:pPr>
        <w:pStyle w:val="ListBullet"/>
        <w:spacing w:before="20" w:after="40" w:line="276" w:lineRule="auto"/>
      </w:pPr>
      <w:r>
        <w:rPr>
          <w:rFonts w:ascii="Arial" w:hAnsi="Arial"/>
          <w:b/>
          <w:color w:val="1E1E1E"/>
          <w:sz w:val="20"/>
        </w:rPr>
        <w:t xml:space="preserve">• Diện cảnh báo: </w:t>
      </w:r>
      <w:r>
        <w:rPr>
          <w:rFonts w:ascii="Arial" w:hAnsi="Arial"/>
          <w:color w:val="282828"/>
          <w:sz w:val="20"/>
        </w:rPr>
        <w:t>Sinh viên bị cảnh báo học vụ (Học lực Yếu/Kém): Bị giới hạn nghiêm ngặt, chỉ được đăng ký từ 10 đến 14 tín chỉ trong mỗi học kỳ chính nhằm giảm tải áp lực và tập trung cải thiện điểm.</w:t>
      </w:r>
    </w:p>
    <w:p>
      <w:pPr>
        <w:pStyle w:val="ListBullet"/>
        <w:spacing w:before="20" w:after="40" w:line="276" w:lineRule="auto"/>
      </w:pPr>
      <w:r>
        <w:rPr>
          <w:rFonts w:ascii="Arial" w:hAnsi="Arial"/>
          <w:b/>
          <w:color w:val="1E1E1E"/>
          <w:sz w:val="20"/>
        </w:rPr>
        <w:t xml:space="preserve">• Học kỳ hè: </w:t>
      </w:r>
      <w:r>
        <w:rPr>
          <w:rFonts w:ascii="Arial" w:hAnsi="Arial"/>
          <w:color w:val="282828"/>
          <w:sz w:val="20"/>
        </w:rPr>
        <w:t>Học kỳ hè (Học kỳ 3): Là học kỳ phụ không bắt buộc, sinh viên được đăng ký tối đa 08 tín chỉ.</w:t>
      </w:r>
    </w:p>
    <w:p>
      <w:pPr>
        <w:pStyle w:val="ListBullet"/>
        <w:spacing w:before="20" w:after="40" w:line="276" w:lineRule="auto"/>
      </w:pPr>
      <w:r>
        <w:rPr>
          <w:rFonts w:ascii="Arial" w:hAnsi="Arial"/>
          <w:b/>
          <w:color w:val="1E1E1E"/>
          <w:sz w:val="20"/>
        </w:rPr>
        <w:t xml:space="preserve">• Học vượt: </w:t>
      </w:r>
      <w:r>
        <w:rPr>
          <w:rFonts w:ascii="Arial" w:hAnsi="Arial"/>
          <w:color w:val="282828"/>
          <w:sz w:val="20"/>
        </w:rPr>
        <w:t>Đăng ký vượt trần tín chỉ (&gt; 25 tín chỉ): Sinh viên có CPA tích lũy từ 3.20 (loại Giỏi) trở lên, không nợ môn, có đơn xin đăng ký vượt kèm xác nhận của Cố vấn học vụ được phép đăng ký tối đa 28 tín chỉ/kỳ để đẩy nhanh tiến độ tốt nghiệp.</w:t>
      </w:r>
    </w:p>
    <w:p>
      <w:pPr>
        <w:keepNext/>
        <w:spacing w:before="280" w:after="80"/>
      </w:pPr>
      <w:r>
        <w:rPr>
          <w:rFonts w:ascii="Arial" w:hAnsi="Arial"/>
          <w:b/>
          <w:color w:val="003366"/>
          <w:sz w:val="26"/>
        </w:rPr>
        <w:t>PHẦN 5: QUY CHẾ RÚT HỌC PHẦN (ĐIỂM W) &amp; HỌC CẢI THIỆN ĐIỂM</w:t>
      </w:r>
    </w:p>
    <w:p>
      <w:pPr>
        <w:spacing w:before="40" w:after="60" w:line="276" w:lineRule="auto"/>
      </w:pPr>
      <w:r>
        <w:rPr>
          <w:rFonts w:ascii="Arial" w:hAnsi="Arial"/>
          <w:b/>
          <w:color w:val="1E1E1E"/>
          <w:sz w:val="20"/>
        </w:rPr>
        <w:t xml:space="preserve">Nguyên tắc điều chỉnh: </w:t>
      </w:r>
      <w:r>
        <w:rPr>
          <w:rFonts w:ascii="Arial" w:hAnsi="Arial"/>
          <w:color w:val="282828"/>
          <w:sz w:val="20"/>
        </w:rPr>
        <w:t>Trong quá trình học kỳ diễn ra, sinh viên có quyền điều chỉnh kế hoạch học tập cá nhân theo các quy định sau:</w:t>
      </w:r>
    </w:p>
    <w:p>
      <w:pPr>
        <w:pStyle w:val="ListBullet"/>
        <w:spacing w:before="20" w:after="40" w:line="276" w:lineRule="auto"/>
      </w:pPr>
      <w:r>
        <w:rPr>
          <w:rFonts w:ascii="Arial" w:hAnsi="Arial"/>
          <w:b/>
          <w:color w:val="1E1E1E"/>
          <w:sz w:val="20"/>
        </w:rPr>
        <w:t xml:space="preserve">1. Thời hạn: </w:t>
      </w:r>
      <w:r>
        <w:rPr>
          <w:rFonts w:ascii="Arial" w:hAnsi="Arial"/>
          <w:color w:val="282828"/>
          <w:sz w:val="20"/>
        </w:rPr>
        <w:t>Thời hạn rút học phần: Từ tuần thứ 3 đến hết tuần thứ 8 của học kỳ chính (hết tuần thứ 2 của học kỳ hè).</w:t>
      </w:r>
    </w:p>
    <w:p>
      <w:pPr>
        <w:pStyle w:val="ListBullet"/>
        <w:spacing w:before="20" w:after="40" w:line="276" w:lineRule="auto"/>
      </w:pPr>
      <w:r>
        <w:rPr>
          <w:rFonts w:ascii="Arial" w:hAnsi="Arial"/>
          <w:b/>
          <w:color w:val="1E1E1E"/>
          <w:sz w:val="20"/>
        </w:rPr>
        <w:t xml:space="preserve">2. Thủ tục trực tuyến: </w:t>
      </w:r>
      <w:r>
        <w:rPr>
          <w:rFonts w:ascii="Arial" w:hAnsi="Arial"/>
          <w:color w:val="282828"/>
          <w:sz w:val="20"/>
        </w:rPr>
        <w:t>Thủ tục rút môn: Thực hiện hoàn toàn trực tuyến trên Cổng thông tin đào tạo (Portal), không cần viết đơn giấy.</w:t>
      </w:r>
    </w:p>
    <w:p>
      <w:pPr>
        <w:pStyle w:val="ListBullet"/>
        <w:spacing w:before="20" w:after="40" w:line="276" w:lineRule="auto"/>
      </w:pPr>
      <w:r>
        <w:rPr>
          <w:rFonts w:ascii="Arial" w:hAnsi="Arial"/>
          <w:b/>
          <w:color w:val="1E1E1E"/>
          <w:sz w:val="20"/>
        </w:rPr>
        <w:t xml:space="preserve">3. Điểm W an toàn: </w:t>
      </w:r>
      <w:r>
        <w:rPr>
          <w:rFonts w:ascii="Arial" w:hAnsi="Arial"/>
          <w:color w:val="282828"/>
          <w:sz w:val="20"/>
        </w:rPr>
        <w:t>Ghi nhận điểm W: Học phần được rút sẽ ghi nhận điểm 'W' (Withdrawn). Điểm W không bị tính là rớt môn, không xuất hiện trong công thức tính GPA/CPA, không bị tính vào tỷ lệ 5% học lại hạ bậc tốt nghiệp.</w:t>
      </w:r>
    </w:p>
    <w:p>
      <w:pPr>
        <w:pStyle w:val="ListBullet"/>
        <w:spacing w:before="20" w:after="40" w:line="276" w:lineRule="auto"/>
      </w:pPr>
      <w:r>
        <w:rPr>
          <w:rFonts w:ascii="Arial" w:hAnsi="Arial"/>
          <w:b/>
          <w:color w:val="1E1E1E"/>
          <w:sz w:val="20"/>
        </w:rPr>
        <w:t xml:space="preserve">4. Không hoàn học phí: </w:t>
      </w:r>
      <w:r>
        <w:rPr>
          <w:rFonts w:ascii="Arial" w:hAnsi="Arial"/>
          <w:color w:val="282828"/>
          <w:sz w:val="20"/>
        </w:rPr>
        <w:t>Chính sách tài chính: Sinh viên rút học phần hoàn toàn KHÔNG được hoàn trả hoặc bảo lưu học phí của môn học đó.</w:t>
      </w:r>
    </w:p>
    <w:p>
      <w:pPr>
        <w:pStyle w:val="ListBullet"/>
        <w:spacing w:before="20" w:after="40" w:line="276" w:lineRule="auto"/>
      </w:pPr>
      <w:r>
        <w:rPr>
          <w:rFonts w:ascii="Arial" w:hAnsi="Arial"/>
          <w:b/>
          <w:color w:val="1E1E1E"/>
          <w:sz w:val="20"/>
        </w:rPr>
        <w:t xml:space="preserve">5. Tín chỉ tối thiểu: </w:t>
      </w:r>
      <w:r>
        <w:rPr>
          <w:rFonts w:ascii="Arial" w:hAnsi="Arial"/>
          <w:color w:val="282828"/>
          <w:sz w:val="20"/>
        </w:rPr>
        <w:t>Ràng buộc số tín chỉ tối thiểu: Sau khi rút học phần, tổng số tín chỉ còn lại trong học kỳ của sinh viên không được thấp hơn hạn mức tối thiểu (không dưới 14 tín chỉ đối với sinh viên bình thường, không dưới 10 tín chỉ đối với sinh viên diện cảnh báo).</w:t>
      </w:r>
    </w:p>
    <w:p>
      <w:pPr>
        <w:keepNext/>
        <w:spacing w:before="280" w:after="80"/>
      </w:pPr>
      <w:r>
        <w:rPr>
          <w:rFonts w:ascii="Arial" w:hAnsi="Arial"/>
          <w:b/>
          <w:color w:val="003366"/>
          <w:sz w:val="26"/>
        </w:rPr>
        <w:t>PHẦN 6: QUY CHẾ NGHỈ HỌC TẠM THỜI (BẢO LƯU KẾT QUẢ HỌC TẬP)</w:t>
      </w:r>
    </w:p>
    <w:p>
      <w:pPr>
        <w:spacing w:before="40" w:after="60" w:line="276" w:lineRule="auto"/>
      </w:pPr>
      <w:r>
        <w:rPr>
          <w:rFonts w:ascii="Arial" w:hAnsi="Arial"/>
          <w:b/>
          <w:color w:val="1E1E1E"/>
          <w:sz w:val="20"/>
        </w:rPr>
        <w:t xml:space="preserve">Điều kiện bảo lưu: </w:t>
      </w:r>
      <w:r>
        <w:rPr>
          <w:rFonts w:ascii="Arial" w:hAnsi="Arial"/>
          <w:color w:val="282828"/>
          <w:sz w:val="20"/>
        </w:rPr>
        <w:t>Sinh viên được quyền xin nghỉ học tạm thời và bảo lưu kết quả học tập đã tích lũy nếu đáp ứng đủ các điều kiện theo Điều 15 Quy chế Đào tạo:</w:t>
      </w:r>
    </w:p>
    <w:p>
      <w:pPr>
        <w:pStyle w:val="ListBullet"/>
        <w:spacing w:before="20" w:after="40" w:line="276" w:lineRule="auto"/>
      </w:pPr>
      <w:r>
        <w:rPr>
          <w:rFonts w:ascii="Arial" w:hAnsi="Arial"/>
          <w:b/>
          <w:color w:val="1E1E1E"/>
          <w:sz w:val="20"/>
        </w:rPr>
        <w:t xml:space="preserve">• Điều kiện tiên quyết: </w:t>
      </w:r>
      <w:r>
        <w:rPr>
          <w:rFonts w:ascii="Arial" w:hAnsi="Arial"/>
          <w:color w:val="282828"/>
          <w:sz w:val="20"/>
        </w:rPr>
        <w:t>Điều kiện về thời gian học tập: Đã học ít nhất 01 học kỳ chính tại trường và không thuộc diện bị xem xét buộc thôi học.</w:t>
      </w:r>
    </w:p>
    <w:p>
      <w:pPr>
        <w:pStyle w:val="ListBullet"/>
        <w:spacing w:before="20" w:after="40" w:line="276" w:lineRule="auto"/>
      </w:pPr>
      <w:r>
        <w:rPr>
          <w:rFonts w:ascii="Arial" w:hAnsi="Arial"/>
          <w:b/>
          <w:color w:val="1E1E1E"/>
          <w:sz w:val="20"/>
        </w:rPr>
        <w:t xml:space="preserve">• Các lý do hợp lệ: </w:t>
      </w:r>
      <w:r>
        <w:rPr>
          <w:rFonts w:ascii="Arial" w:hAnsi="Arial"/>
          <w:color w:val="282828"/>
          <w:sz w:val="20"/>
        </w:rPr>
        <w:t>Các lý do chính đáng được chấp thuận: (1) Được điều động vào lực lượng vũ trang nhân dân (Nghĩa vụ quân sự); (2) Bị ốm đau, thai sản, tai nạn phải điều trị dài ngày có giấy chứng nhận của cơ quan y tế có thẩm quyền; (3) Nhu cầu cá nhân vì hoàn cảnh gia đình đặc biệt khó khăn hoặc lý do cá nhân chính đáng khác (phải có điểm CPA tích lũy từ 2.00 trở lên).</w:t>
      </w:r>
    </w:p>
    <w:p>
      <w:pPr>
        <w:pStyle w:val="ListBullet"/>
        <w:spacing w:before="20" w:after="40" w:line="276" w:lineRule="auto"/>
      </w:pPr>
      <w:r>
        <w:rPr>
          <w:rFonts w:ascii="Arial" w:hAnsi="Arial"/>
          <w:b/>
          <w:color w:val="1E1E1E"/>
          <w:sz w:val="20"/>
        </w:rPr>
        <w:t xml:space="preserve">• Thời gian tối đa: </w:t>
      </w:r>
      <w:r>
        <w:rPr>
          <w:rFonts w:ascii="Arial" w:hAnsi="Arial"/>
          <w:color w:val="282828"/>
          <w:sz w:val="20"/>
        </w:rPr>
        <w:t>Thời hạn nghỉ tạm thời: Mỗi lần xin nghỉ tối đa 02 học kỳ chính (01 năm học). Tổng thời gian nghỉ học tạm thời vì nhu cầu cá nhân không vượt quá 04 học kỳ chính (02 năm học) trong toàn bộ khóa đào tạo. Thời gian nghỉ do thực hiện nghĩa vụ quân sự không tính vào quỹ thời gian tối đa hoàn thành khóa học.</w:t>
      </w:r>
    </w:p>
    <w:p>
      <w:pPr>
        <w:pStyle w:val="ListBullet"/>
        <w:spacing w:before="20" w:after="40" w:line="276" w:lineRule="auto"/>
      </w:pPr>
      <w:r>
        <w:rPr>
          <w:rFonts w:ascii="Arial" w:hAnsi="Arial"/>
          <w:b/>
          <w:color w:val="1E1E1E"/>
          <w:sz w:val="20"/>
        </w:rPr>
        <w:t xml:space="preserve">• Hạn nộp đơn: </w:t>
      </w:r>
      <w:r>
        <w:rPr>
          <w:rFonts w:ascii="Arial" w:hAnsi="Arial"/>
          <w:color w:val="282828"/>
          <w:sz w:val="20"/>
        </w:rPr>
        <w:t>Hạn nộp hồ sơ xin nghỉ: Sinh viên phải nộp Đơn xin nghỉ học tạm thời tại Phòng Đào tạo trước khi kỳ thi kết thúc học phần bắt đầu ít nhất 02 tuần.</w:t>
      </w:r>
    </w:p>
    <w:p>
      <w:pPr>
        <w:pStyle w:val="ListBullet"/>
        <w:spacing w:before="20" w:after="40" w:line="276" w:lineRule="auto"/>
      </w:pPr>
      <w:r>
        <w:rPr>
          <w:rFonts w:ascii="Arial" w:hAnsi="Arial"/>
          <w:b/>
          <w:color w:val="1E1E1E"/>
          <w:sz w:val="20"/>
        </w:rPr>
        <w:t xml:space="preserve">• Trở lại học tập: </w:t>
      </w:r>
      <w:r>
        <w:rPr>
          <w:rFonts w:ascii="Arial" w:hAnsi="Arial"/>
          <w:color w:val="282828"/>
          <w:sz w:val="20"/>
        </w:rPr>
        <w:t>Quy trình xin trở lại học tập: Trước khi bắt đầu học kỳ mới ít nhất 03 tuần, sinh viên phải nộp Đơn xin trở lại học tập tại Phòng Đào tạo để được mở lại quyền đăng ký học phần trên Portal.</w:t>
      </w:r>
    </w:p>
    <w:p>
      <w:pPr>
        <w:keepNext/>
        <w:spacing w:before="280" w:after="80"/>
      </w:pPr>
      <w:r>
        <w:rPr>
          <w:rFonts w:ascii="Arial" w:hAnsi="Arial"/>
          <w:b/>
          <w:color w:val="003366"/>
          <w:sz w:val="26"/>
        </w:rPr>
        <w:t>PHẦN 7: QUY CHẾ CHUYỂN NGÀNH &amp; HỌC CÙNG LÚC HAI CHƯƠNG TRÌNH (SONG BẰNG)</w:t>
      </w:r>
    </w:p>
    <w:p>
      <w:pPr>
        <w:keepNext/>
        <w:spacing w:before="200" w:after="60"/>
      </w:pPr>
      <w:r>
        <w:rPr>
          <w:rFonts w:ascii="Arial" w:hAnsi="Arial"/>
          <w:b/>
          <w:color w:val="006699"/>
          <w:sz w:val="23"/>
        </w:rPr>
        <w:t>1. Quy Định Chuyển Ngành Học (Major Transfer)</w:t>
      </w:r>
    </w:p>
    <w:p>
      <w:pPr>
        <w:spacing w:before="40" w:after="60" w:line="276" w:lineRule="auto"/>
      </w:pPr>
      <w:r>
        <w:rPr>
          <w:rFonts w:ascii="Arial" w:hAnsi="Arial"/>
          <w:b/>
          <w:color w:val="1E1E1E"/>
          <w:sz w:val="20"/>
        </w:rPr>
        <w:t xml:space="preserve">Điều kiện chuyển ngành: </w:t>
      </w:r>
      <w:r>
        <w:rPr>
          <w:rFonts w:ascii="Arial" w:hAnsi="Arial"/>
          <w:color w:val="282828"/>
          <w:sz w:val="20"/>
        </w:rPr>
        <w:t>Sinh viên được quyền nộp đơn xin chuyển ngành sang một ngành đào tạo khác trong trường nếu thỏa mãn các điều kiện:</w:t>
      </w:r>
    </w:p>
    <w:p>
      <w:pPr>
        <w:pStyle w:val="ListBullet"/>
        <w:spacing w:before="20" w:after="40" w:line="276" w:lineRule="auto"/>
      </w:pPr>
      <w:r>
        <w:rPr>
          <w:rFonts w:ascii="Arial" w:hAnsi="Arial"/>
          <w:b/>
          <w:color w:val="1E1E1E"/>
          <w:sz w:val="20"/>
        </w:rPr>
        <w:t xml:space="preserve">• </w:t>
      </w:r>
      <w:r>
        <w:rPr>
          <w:rFonts w:ascii="Arial" w:hAnsi="Arial"/>
          <w:color w:val="282828"/>
          <w:sz w:val="20"/>
        </w:rPr>
        <w:t>Thời điểm chuyển: Đã hoàn thành năm học thứ nhất (tích lũy tối thiểu 28 tín chỉ). Không tiếp nhận đơn chuyển ngành từ năm thứ ba trở đi.</w:t>
      </w:r>
    </w:p>
    <w:p>
      <w:pPr>
        <w:pStyle w:val="ListBullet"/>
        <w:spacing w:before="20" w:after="40" w:line="276" w:lineRule="auto"/>
      </w:pPr>
      <w:r>
        <w:rPr>
          <w:rFonts w:ascii="Arial" w:hAnsi="Arial"/>
          <w:b/>
          <w:color w:val="1E1E1E"/>
          <w:sz w:val="20"/>
        </w:rPr>
        <w:t xml:space="preserve">• </w:t>
      </w:r>
      <w:r>
        <w:rPr>
          <w:rFonts w:ascii="Arial" w:hAnsi="Arial"/>
          <w:color w:val="282828"/>
          <w:sz w:val="20"/>
        </w:rPr>
        <w:t>Học lực: Điểm trung bình tích lũy CPA đạt từ 2.50/4.00 trở lên và không đang trong tình trạng bị cảnh báo học vụ.</w:t>
      </w:r>
    </w:p>
    <w:p>
      <w:pPr>
        <w:pStyle w:val="ListBullet"/>
        <w:spacing w:before="20" w:after="40" w:line="276" w:lineRule="auto"/>
      </w:pPr>
      <w:r>
        <w:rPr>
          <w:rFonts w:ascii="Arial" w:hAnsi="Arial"/>
          <w:b/>
          <w:color w:val="1E1E1E"/>
          <w:sz w:val="20"/>
        </w:rPr>
        <w:t xml:space="preserve">• </w:t>
      </w:r>
      <w:r>
        <w:rPr>
          <w:rFonts w:ascii="Arial" w:hAnsi="Arial"/>
          <w:color w:val="282828"/>
          <w:sz w:val="20"/>
        </w:rPr>
        <w:t>Điểm trúng tuyển: Điểm thi tuyển sinh đầu vào của sinh viên phải đạt hoặc cao hơn điểm trúng tuyển của ngành muốn chuyển sang trong cùng năm tuyển sinh.</w:t>
      </w:r>
    </w:p>
    <w:p>
      <w:pPr>
        <w:pStyle w:val="ListBullet"/>
        <w:spacing w:before="20" w:after="40" w:line="276" w:lineRule="auto"/>
      </w:pPr>
      <w:r>
        <w:rPr>
          <w:rFonts w:ascii="Arial" w:hAnsi="Arial"/>
          <w:b/>
          <w:color w:val="1E1E1E"/>
          <w:sz w:val="20"/>
        </w:rPr>
        <w:t xml:space="preserve">• </w:t>
      </w:r>
      <w:r>
        <w:rPr>
          <w:rFonts w:ascii="Arial" w:hAnsi="Arial"/>
          <w:color w:val="282828"/>
          <w:sz w:val="20"/>
        </w:rPr>
        <w:t>Chỉ tiêu tiếp nhận: Ngành chuyển đến còn chỉ tiêu đào tạo và được sự đồng ý bằng văn bản của Trưởng khoa chuyên môn nơi đi và nơi đến.</w:t>
      </w:r>
    </w:p>
    <w:p>
      <w:pPr>
        <w:keepNext/>
        <w:spacing w:before="200" w:after="60"/>
      </w:pPr>
      <w:r>
        <w:rPr>
          <w:rFonts w:ascii="Arial" w:hAnsi="Arial"/>
          <w:b/>
          <w:color w:val="006699"/>
          <w:sz w:val="23"/>
        </w:rPr>
        <w:t>2. Quy Định Học Cùng Lúc Hai Chương Trình (Song Bằng - Dual Degree)</w:t>
      </w:r>
    </w:p>
    <w:p>
      <w:pPr>
        <w:spacing w:before="40" w:after="60" w:line="276" w:lineRule="auto"/>
      </w:pPr>
      <w:r>
        <w:rPr>
          <w:rFonts w:ascii="Arial" w:hAnsi="Arial"/>
          <w:b/>
          <w:color w:val="1E1E1E"/>
          <w:sz w:val="20"/>
        </w:rPr>
        <w:t xml:space="preserve">Điều kiện song bằng: </w:t>
      </w:r>
      <w:r>
        <w:rPr>
          <w:rFonts w:ascii="Arial" w:hAnsi="Arial"/>
          <w:color w:val="282828"/>
          <w:sz w:val="20"/>
        </w:rPr>
        <w:t>Sinh viên có nguyện vọng học thêm một ngành thứ hai để nhận 02 bằng Cử nhân độc lập khi tốt nghiệp phải tuân thủ nghiêm ngặt:</w:t>
      </w:r>
    </w:p>
    <w:p>
      <w:pPr>
        <w:pStyle w:val="ListBullet"/>
        <w:spacing w:before="20" w:after="40" w:line="276" w:lineRule="auto"/>
      </w:pPr>
      <w:r>
        <w:rPr>
          <w:rFonts w:ascii="Arial" w:hAnsi="Arial"/>
          <w:b/>
          <w:color w:val="1E1E1E"/>
          <w:sz w:val="20"/>
        </w:rPr>
        <w:t xml:space="preserve">• </w:t>
      </w:r>
      <w:r>
        <w:rPr>
          <w:rFonts w:ascii="Arial" w:hAnsi="Arial"/>
          <w:color w:val="282828"/>
          <w:sz w:val="20"/>
        </w:rPr>
        <w:t>Thời điểm đăng ký: Sau khi kết thúc năm học thứ nhất của ngành đào tạo thứ nhất.</w:t>
      </w:r>
    </w:p>
    <w:p>
      <w:pPr>
        <w:pStyle w:val="ListBullet"/>
        <w:spacing w:before="20" w:after="40" w:line="276" w:lineRule="auto"/>
      </w:pPr>
      <w:r>
        <w:rPr>
          <w:rFonts w:ascii="Arial" w:hAnsi="Arial"/>
          <w:b/>
          <w:color w:val="1E1E1E"/>
          <w:sz w:val="20"/>
        </w:rPr>
        <w:t xml:space="preserve">• </w:t>
      </w:r>
      <w:r>
        <w:rPr>
          <w:rFonts w:ascii="Arial" w:hAnsi="Arial"/>
          <w:color w:val="282828"/>
          <w:sz w:val="20"/>
        </w:rPr>
        <w:t>Điều kiện học lực: Điểm CPA của ngành thứ nhất phải đạt loại Khá trở lên (CPA ≥ 2.50) và không bị cảnh báo học vụ.</w:t>
      </w:r>
    </w:p>
    <w:p>
      <w:pPr>
        <w:pStyle w:val="ListBullet"/>
        <w:spacing w:before="20" w:after="40" w:line="276" w:lineRule="auto"/>
      </w:pPr>
      <w:r>
        <w:rPr>
          <w:rFonts w:ascii="Arial" w:hAnsi="Arial"/>
          <w:b/>
          <w:color w:val="1E1E1E"/>
          <w:sz w:val="20"/>
        </w:rPr>
        <w:t xml:space="preserve">• </w:t>
      </w:r>
      <w:r>
        <w:rPr>
          <w:rFonts w:ascii="Arial" w:hAnsi="Arial"/>
          <w:color w:val="282828"/>
          <w:sz w:val="20"/>
        </w:rPr>
        <w:t>Duy trì điều kiện học: Trong quá trình học song bằng, nếu điểm CPA ngành 1 rơi xuống dưới 2.00 hoặc bị cảnh báo học vụ, sinh viên bắt buộc phải dừng học ngành 2 ở học kỳ tiếp theo.</w:t>
      </w:r>
    </w:p>
    <w:p>
      <w:pPr>
        <w:pStyle w:val="ListBullet"/>
        <w:spacing w:before="20" w:after="40" w:line="276" w:lineRule="auto"/>
      </w:pPr>
      <w:r>
        <w:rPr>
          <w:rFonts w:ascii="Arial" w:hAnsi="Arial"/>
          <w:b/>
          <w:color w:val="1E1E1E"/>
          <w:sz w:val="20"/>
        </w:rPr>
        <w:t xml:space="preserve">• </w:t>
      </w:r>
      <w:r>
        <w:rPr>
          <w:rFonts w:ascii="Arial" w:hAnsi="Arial"/>
          <w:color w:val="282828"/>
          <w:sz w:val="20"/>
        </w:rPr>
        <w:t>Tốt nghiệp: Sinh viên chỉ được xét công nhận tốt nghiệp ngành thứ hai nếu đã được công nhận tốt nghiệp hoặc đủ điều kiện tốt nghiệp đồng thời ở ngành thứ nhất.</w:t>
      </w:r>
    </w:p>
    <w:p>
      <w:pPr>
        <w:keepNext/>
        <w:spacing w:before="280" w:after="80"/>
      </w:pPr>
      <w:r>
        <w:rPr>
          <w:rFonts w:ascii="Arial" w:hAnsi="Arial"/>
          <w:b/>
          <w:color w:val="003366"/>
          <w:sz w:val="26"/>
        </w:rPr>
        <w:t>PHẦN 8: ĐIỀU KIỆN LÀM KHÓA LUẬN TỐT NGHIỆP VS HỌC MÔN CHUYÊN ĐỀ THAY THẾ</w:t>
      </w:r>
    </w:p>
    <w:p>
      <w:pPr>
        <w:spacing w:before="40" w:after="60" w:line="276" w:lineRule="auto"/>
      </w:pPr>
      <w:r>
        <w:rPr>
          <w:rFonts w:ascii="Arial" w:hAnsi="Arial"/>
          <w:b/>
          <w:color w:val="1E1E1E"/>
          <w:sz w:val="20"/>
        </w:rPr>
        <w:t xml:space="preserve">Hai lộ trình tốt nghiệp: </w:t>
      </w:r>
      <w:r>
        <w:rPr>
          <w:rFonts w:ascii="Arial" w:hAnsi="Arial"/>
          <w:color w:val="282828"/>
          <w:sz w:val="20"/>
        </w:rPr>
        <w:t>Vào năm thứ 4, sinh viên được lựa chọn một trong hai hình thức tốt nghiệp căn cứ trên năng lực và định hướng nghề nghiệp:</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Tiêu Chí So Sánh</w:t>
            </w:r>
          </w:p>
        </w:tc>
        <w:tc>
          <w:tcPr>
            <w:tcW w:type="dxa" w:w="4032"/>
            <w:shd w:val="clear" w:color="auto" w:fill="003366"/>
            <w:tcMar>
              <w:top w:w="100" w:type="dxa"/>
              <w:bottom w:w="100" w:type="dxa"/>
              <w:left w:w="120" w:type="dxa"/>
              <w:right w:w="120" w:type="dxa"/>
            </w:tcMar>
          </w:tcPr>
          <w:p>
            <w:pPr>
              <w:jc w:val="center"/>
            </w:pPr>
            <w:r>
              <w:rPr>
                <w:rFonts w:ascii="Arial" w:hAnsi="Arial"/>
                <w:b/>
                <w:color w:val="FFFFFF"/>
                <w:sz w:val="19"/>
              </w:rPr>
              <w:t>Lộ Trình Khóa Luận Tốt Nghiệp (KLTN)</w:t>
            </w:r>
          </w:p>
        </w:tc>
        <w:tc>
          <w:tcPr>
            <w:tcW w:type="dxa" w:w="4176"/>
            <w:shd w:val="clear" w:color="auto" w:fill="003366"/>
            <w:tcMar>
              <w:top w:w="100" w:type="dxa"/>
              <w:bottom w:w="100" w:type="dxa"/>
              <w:left w:w="120" w:type="dxa"/>
              <w:right w:w="120" w:type="dxa"/>
            </w:tcMar>
          </w:tcPr>
          <w:p>
            <w:pPr>
              <w:jc w:val="center"/>
            </w:pPr>
            <w:r>
              <w:rPr>
                <w:rFonts w:ascii="Arial" w:hAnsi="Arial"/>
                <w:b/>
                <w:color w:val="FFFFFF"/>
                <w:sz w:val="19"/>
              </w:rPr>
              <w:t>Lộ Trình Học Môn Chuyên Đề Thay Thế KLTN</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Mục đích &amp; Bản chất</w:t>
            </w:r>
          </w:p>
        </w:tc>
        <w:tc>
          <w:tcPr>
            <w:tcW w:type="dxa" w:w="4032"/>
            <w:shd w:val="clear" w:color="auto" w:fill="FFFFFF"/>
            <w:tcMar>
              <w:top w:w="80" w:type="dxa"/>
              <w:bottom w:w="80" w:type="dxa"/>
              <w:left w:w="100" w:type="dxa"/>
              <w:right w:w="100" w:type="dxa"/>
            </w:tcMar>
          </w:tcPr>
          <w:p>
            <w:pPr>
              <w:jc w:val="left"/>
            </w:pPr>
            <w:r>
              <w:rPr>
                <w:rFonts w:ascii="Arial" w:hAnsi="Arial"/>
                <w:color w:val="282828"/>
                <w:sz w:val="18"/>
              </w:rPr>
              <w:t>Nghiên cứu khoa học chuyên sâu dưới sự hướng dẫn 1-1 của giảng viên/nhà khoa học; viết báo cáo và bảo vệ trước Hội đồng chấm.</w:t>
            </w:r>
          </w:p>
        </w:tc>
        <w:tc>
          <w:tcPr>
            <w:tcW w:type="dxa" w:w="4176"/>
            <w:shd w:val="clear" w:color="auto" w:fill="FFFFFF"/>
            <w:tcMar>
              <w:top w:w="80" w:type="dxa"/>
              <w:bottom w:w="80" w:type="dxa"/>
              <w:left w:w="100" w:type="dxa"/>
              <w:right w:w="100" w:type="dxa"/>
            </w:tcMar>
          </w:tcPr>
          <w:p>
            <w:pPr>
              <w:jc w:val="left"/>
            </w:pPr>
            <w:r>
              <w:rPr>
                <w:rFonts w:ascii="Arial" w:hAnsi="Arial"/>
                <w:color w:val="282828"/>
                <w:sz w:val="18"/>
              </w:rPr>
              <w:t>Tích lũy các học phần chuyên đề ứng dụng thực tiễn, làm bài tập lớn/đồ án môn học nâng cao.</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Tín chỉ tích lũy</w:t>
            </w:r>
          </w:p>
        </w:tc>
        <w:tc>
          <w:tcPr>
            <w:tcW w:type="dxa" w:w="4032"/>
            <w:shd w:val="clear" w:color="auto" w:fill="F9FBFC"/>
            <w:tcMar>
              <w:top w:w="80" w:type="dxa"/>
              <w:bottom w:w="80" w:type="dxa"/>
              <w:left w:w="100" w:type="dxa"/>
              <w:right w:w="100" w:type="dxa"/>
            </w:tcMar>
          </w:tcPr>
          <w:p>
            <w:pPr>
              <w:jc w:val="left"/>
            </w:pPr>
            <w:r>
              <w:rPr>
                <w:rFonts w:ascii="Arial" w:hAnsi="Arial"/>
                <w:color w:val="282828"/>
                <w:sz w:val="18"/>
              </w:rPr>
              <w:t>Thường từ 6 đến 10 tín chỉ (tùy ngành, ví dụ CNTT: 10 TC, Hóa học: 10 TC).</w:t>
            </w:r>
          </w:p>
        </w:tc>
        <w:tc>
          <w:tcPr>
            <w:tcW w:type="dxa" w:w="4176"/>
            <w:shd w:val="clear" w:color="auto" w:fill="F9FBFC"/>
            <w:tcMar>
              <w:top w:w="80" w:type="dxa"/>
              <w:bottom w:w="80" w:type="dxa"/>
              <w:left w:w="100" w:type="dxa"/>
              <w:right w:w="100" w:type="dxa"/>
            </w:tcMar>
          </w:tcPr>
          <w:p>
            <w:pPr>
              <w:jc w:val="left"/>
            </w:pPr>
            <w:r>
              <w:rPr>
                <w:rFonts w:ascii="Arial" w:hAnsi="Arial"/>
                <w:color w:val="282828"/>
                <w:sz w:val="18"/>
              </w:rPr>
              <w:t>Tích lũy từ 2 đến 3 môn học chuyên đề chuyên sâu (tổng số tín chỉ tương đương KLTN).</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Điều kiện học lực (CPA)</w:t>
            </w:r>
          </w:p>
        </w:tc>
        <w:tc>
          <w:tcPr>
            <w:tcW w:type="dxa" w:w="4032"/>
            <w:shd w:val="clear" w:color="auto" w:fill="FFFFFF"/>
            <w:tcMar>
              <w:top w:w="80" w:type="dxa"/>
              <w:bottom w:w="80" w:type="dxa"/>
              <w:left w:w="100" w:type="dxa"/>
              <w:right w:w="100" w:type="dxa"/>
            </w:tcMar>
          </w:tcPr>
          <w:p>
            <w:pPr>
              <w:jc w:val="left"/>
            </w:pPr>
            <w:r>
              <w:rPr>
                <w:rFonts w:ascii="Arial" w:hAnsi="Arial"/>
                <w:color w:val="282828"/>
                <w:sz w:val="18"/>
              </w:rPr>
              <w:t>Tích lũy tối thiểu 105 tín chỉ; CPA đạt từ 2.60 - 2.80 trở lên (Khoa CNTT yêu cầu CPA ≥ 2.80, Khoa Hóa ≥ 2.60).</w:t>
            </w:r>
          </w:p>
        </w:tc>
        <w:tc>
          <w:tcPr>
            <w:tcW w:type="dxa" w:w="4176"/>
            <w:shd w:val="clear" w:color="auto" w:fill="FFFFFF"/>
            <w:tcMar>
              <w:top w:w="80" w:type="dxa"/>
              <w:bottom w:w="80" w:type="dxa"/>
              <w:left w:w="100" w:type="dxa"/>
              <w:right w:w="100" w:type="dxa"/>
            </w:tcMar>
          </w:tcPr>
          <w:p>
            <w:pPr>
              <w:jc w:val="left"/>
            </w:pPr>
            <w:r>
              <w:rPr>
                <w:rFonts w:ascii="Arial" w:hAnsi="Arial"/>
                <w:color w:val="282828"/>
                <w:sz w:val="18"/>
              </w:rPr>
              <w:t>Tích lũy tối thiểu 105 tín chỉ; CPA đạt từ 2.00 trở lên.</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Kỹ năng rèn luyện</w:t>
            </w:r>
          </w:p>
        </w:tc>
        <w:tc>
          <w:tcPr>
            <w:tcW w:type="dxa" w:w="4032"/>
            <w:shd w:val="clear" w:color="auto" w:fill="F9FBFC"/>
            <w:tcMar>
              <w:top w:w="80" w:type="dxa"/>
              <w:bottom w:w="80" w:type="dxa"/>
              <w:left w:w="100" w:type="dxa"/>
              <w:right w:w="100" w:type="dxa"/>
            </w:tcMar>
          </w:tcPr>
          <w:p>
            <w:pPr>
              <w:jc w:val="left"/>
            </w:pPr>
            <w:r>
              <w:rPr>
                <w:rFonts w:ascii="Arial" w:hAnsi="Arial"/>
                <w:color w:val="282828"/>
                <w:sz w:val="18"/>
              </w:rPr>
              <w:t>Tư duy nghiên cứu độc lập, viết bài báo khoa học, thuyết trình bảo vệ trước hội đồng khoa học.</w:t>
            </w:r>
          </w:p>
        </w:tc>
        <w:tc>
          <w:tcPr>
            <w:tcW w:type="dxa" w:w="4176"/>
            <w:shd w:val="clear" w:color="auto" w:fill="F9FBFC"/>
            <w:tcMar>
              <w:top w:w="80" w:type="dxa"/>
              <w:bottom w:w="80" w:type="dxa"/>
              <w:left w:w="100" w:type="dxa"/>
              <w:right w:w="100" w:type="dxa"/>
            </w:tcMar>
          </w:tcPr>
          <w:p>
            <w:pPr>
              <w:jc w:val="left"/>
            </w:pPr>
            <w:r>
              <w:rPr>
                <w:rFonts w:ascii="Arial" w:hAnsi="Arial"/>
                <w:color w:val="282828"/>
                <w:sz w:val="18"/>
              </w:rPr>
              <w:t>Cập nhật công nghệ mới, hoàn thiện kỹ năng thực hành nghề nghiệp, phù hợp sinh viên đi làm sớm.</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Cơ hội phát triển</w:t>
            </w:r>
          </w:p>
        </w:tc>
        <w:tc>
          <w:tcPr>
            <w:tcW w:type="dxa" w:w="4032"/>
            <w:shd w:val="clear" w:color="auto" w:fill="FFFFFF"/>
            <w:tcMar>
              <w:top w:w="80" w:type="dxa"/>
              <w:bottom w:w="80" w:type="dxa"/>
              <w:left w:w="100" w:type="dxa"/>
              <w:right w:w="100" w:type="dxa"/>
            </w:tcMar>
          </w:tcPr>
          <w:p>
            <w:pPr>
              <w:jc w:val="left"/>
            </w:pPr>
            <w:r>
              <w:rPr>
                <w:rFonts w:ascii="Arial" w:hAnsi="Arial"/>
                <w:color w:val="282828"/>
                <w:sz w:val="18"/>
              </w:rPr>
              <w:t>Bắt buộc nếu muốn xin học bổng học tiếp Thạc sĩ, Tiến sĩ (Master/PhD) tại các viện trường quốc tế.</w:t>
            </w:r>
          </w:p>
        </w:tc>
        <w:tc>
          <w:tcPr>
            <w:tcW w:type="dxa" w:w="4176"/>
            <w:shd w:val="clear" w:color="auto" w:fill="FFFFFF"/>
            <w:tcMar>
              <w:top w:w="80" w:type="dxa"/>
              <w:bottom w:w="80" w:type="dxa"/>
              <w:left w:w="100" w:type="dxa"/>
              <w:right w:w="100" w:type="dxa"/>
            </w:tcMar>
          </w:tcPr>
          <w:p>
            <w:pPr>
              <w:jc w:val="left"/>
            </w:pPr>
            <w:r>
              <w:rPr>
                <w:rFonts w:ascii="Arial" w:hAnsi="Arial"/>
                <w:color w:val="282828"/>
                <w:sz w:val="18"/>
              </w:rPr>
              <w:t>Đáp ứng hoàn hảo yêu cầu tuyển dụng trực tiếp tại các doanh nghiệp và tập đoàn công nghiệp.</w:t>
            </w:r>
          </w:p>
        </w:tc>
      </w:tr>
    </w:tbl>
    <w:p>
      <w:pPr>
        <w:spacing w:before="0" w:after="80"/>
      </w:pPr>
    </w:p>
    <w:p>
      <w:pPr>
        <w:keepNext/>
        <w:spacing w:before="280" w:after="80"/>
      </w:pPr>
      <w:r>
        <w:rPr>
          <w:rFonts w:ascii="Arial" w:hAnsi="Arial"/>
          <w:b/>
          <w:color w:val="003366"/>
          <w:sz w:val="26"/>
        </w:rPr>
        <w:t>PHẦN 9: SO SÁNH CÁC HỆ ĐÀO TẠO TẠI HCMUS (CHUẨN, CLC, TIÊN TIẾN, VIỆT - PHÁP)</w:t>
      </w:r>
    </w:p>
    <w:p>
      <w:pPr>
        <w:spacing w:before="40" w:after="60" w:line="276" w:lineRule="auto"/>
      </w:pPr>
      <w:r>
        <w:rPr>
          <w:rFonts w:ascii="Arial" w:hAnsi="Arial"/>
          <w:color w:val="282828"/>
          <w:sz w:val="20"/>
        </w:rPr>
        <w:t>Bảng ma trận so sánh chi tiết giúp sinh viên và cố vấn học vụ định hướng chính xác:</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Đặc Điểm So Sánh</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Chương Trình Chuẩn (Đại Trà)</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Chương Trình Chất Lượng Cao (CLC)</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Chương Trình Tiên Tiến (APCS)</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Chương Trình Việt - Pháp</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Ngôn ngữ giảng dạy</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Tiếng Việt (kèm tài liệu tham khảo tiếng Anh)</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Tiếng Việt kết hợp 30 - 50% học phần dạy bằng Tiếng Anh</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100% bằng Tiếng Anh (theo giáo trình ĐH Portland State, Hoa Kỳ)</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Tiếng Việt và Tiếng Pháp</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Sĩ số lớp học</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Lớp lý thuyết 80 - 150 SV</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Lớp nhỏ chuẩn 35 - 45 SV</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Lớp nhỏ chuẩn 30 - 40 SV</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Lớp chuẩn 30 - 40 SV</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Chuẩn đầu ra Ngoại ngữ</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TOEIC 500 - 550 hoặc IELTS 5.0 - 5.5</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TOEIC 600+ hoặc IELTS 6.0+</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IELTS 6.5+ hoặc TOEFL iBT 80+</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Chứng chỉ DELF B2 tiếng Pháp</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Cơ sở vật chất</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Giảng đường chuẩn, phòng Lab thực hành dùng chung</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Phòng học máy lạnh riêng, Lab máy tính chuyên dụng</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Phòng Lab tiên tiến, trang thiết bị đồng bộ, tài trợ quốc tế</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Phòng học riêng, kết nối ĐH Pháp</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phí định mức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Định mức học phí chuẩn theo quy định Nhà nước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Mức thu theo Đề án chất lượng cao được phê duyệt</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Mức thu theo Đề án chương trình Tiên tiến</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Mức thu theo Đề án liên kết quốc tế</w:t>
            </w:r>
          </w:p>
        </w:tc>
      </w:tr>
    </w:tbl>
    <w:p>
      <w:pPr>
        <w:spacing w:before="0" w:after="80"/>
      </w:pPr>
    </w:p>
    <w:p>
      <w:pPr>
        <w:keepNext/>
        <w:spacing w:before="280" w:after="80"/>
      </w:pPr>
      <w:r>
        <w:rPr>
          <w:rFonts w:ascii="Arial" w:hAnsi="Arial"/>
          <w:b/>
          <w:color w:val="003366"/>
          <w:sz w:val="26"/>
        </w:rPr>
        <w:t>PHẦN 10: CHIẾN LƯỢC TỐT NGHIỆP SỚM TRONG 3.5 NĂM (FAST-TRACK GRADUATION)</w:t>
      </w:r>
    </w:p>
    <w:p>
      <w:pPr>
        <w:spacing w:before="40" w:after="60" w:line="276" w:lineRule="auto"/>
      </w:pPr>
      <w:r>
        <w:rPr>
          <w:rFonts w:ascii="Arial" w:hAnsi="Arial"/>
          <w:b/>
          <w:color w:val="1E1E1E"/>
          <w:sz w:val="20"/>
        </w:rPr>
        <w:t xml:space="preserve">Chiến lược Fast-Track: </w:t>
      </w:r>
      <w:r>
        <w:rPr>
          <w:rFonts w:ascii="Arial" w:hAnsi="Arial"/>
          <w:color w:val="282828"/>
          <w:sz w:val="20"/>
        </w:rPr>
        <w:t>Để hoàn thành toàn bộ 130 - 140 tín chỉ trong thời gian 3.5 năm (7 học kỳ chính), sinh viên cần triển khai chiến lược phân bổ học phần chặt chẽ:</w:t>
      </w:r>
    </w:p>
    <w:p>
      <w:pPr>
        <w:pStyle w:val="ListBullet"/>
        <w:spacing w:before="20" w:after="40" w:line="276" w:lineRule="auto"/>
      </w:pPr>
      <w:r>
        <w:rPr>
          <w:rFonts w:ascii="Arial" w:hAnsi="Arial"/>
          <w:b/>
          <w:color w:val="1E1E1E"/>
          <w:sz w:val="20"/>
        </w:rPr>
        <w:t xml:space="preserve">1. Kỳ hè thần tốc: </w:t>
      </w:r>
      <w:r>
        <w:rPr>
          <w:rFonts w:ascii="Arial" w:hAnsi="Arial"/>
          <w:color w:val="282828"/>
          <w:sz w:val="20"/>
        </w:rPr>
        <w:t>Tận dụng triệt để 3 học kỳ hè: Đăng ký tối đa 8 tín chỉ trong mỗi kỳ hè (Hè năm 1, Hè năm 2, Hè năm 3). Tổng tích lũy học kỳ hè đạt 24 tín chỉ (tương đương khối lượng của gần 1.5 học kỳ chính).</w:t>
      </w:r>
    </w:p>
    <w:p>
      <w:pPr>
        <w:pStyle w:val="ListBullet"/>
        <w:spacing w:before="20" w:after="40" w:line="276" w:lineRule="auto"/>
      </w:pPr>
      <w:r>
        <w:rPr>
          <w:rFonts w:ascii="Arial" w:hAnsi="Arial"/>
          <w:b/>
          <w:color w:val="1E1E1E"/>
          <w:sz w:val="20"/>
        </w:rPr>
        <w:t xml:space="preserve">2. Tải học kỳ chính: </w:t>
      </w:r>
      <w:r>
        <w:rPr>
          <w:rFonts w:ascii="Arial" w:hAnsi="Arial"/>
          <w:color w:val="282828"/>
          <w:sz w:val="20"/>
        </w:rPr>
        <w:t>Phân bổ học kỳ chính hợp lý: Mỗi học kỳ chính từ HK1 đến HK5 đăng ký trung bình 18 - 20 tín chỉ. Tránh việc dồn quá 24 tín chỉ trong một kỳ gây kiệt sức và tụt điểm CPA.</w:t>
      </w:r>
    </w:p>
    <w:p>
      <w:pPr>
        <w:pStyle w:val="ListBullet"/>
        <w:spacing w:before="20" w:after="40" w:line="276" w:lineRule="auto"/>
      </w:pPr>
      <w:r>
        <w:rPr>
          <w:rFonts w:ascii="Arial" w:hAnsi="Arial"/>
          <w:b/>
          <w:color w:val="1E1E1E"/>
          <w:sz w:val="20"/>
        </w:rPr>
        <w:t xml:space="preserve">3. Miễn môn tiếng Anh: </w:t>
      </w:r>
      <w:r>
        <w:rPr>
          <w:rFonts w:ascii="Arial" w:hAnsi="Arial"/>
          <w:color w:val="282828"/>
          <w:sz w:val="20"/>
        </w:rPr>
        <w:t>Dứt điểm chuẩn ngoại ngữ trong năm nhất: Thi đạt chứng chỉ IELTS 6.0+ hoặc TOEIC 600+ ngay trong năm thứ nhất để được miễn học các môn Anh văn cơ sở, tiết kiệm từ 6 đến 12 tín chỉ.</w:t>
      </w:r>
    </w:p>
    <w:p>
      <w:pPr>
        <w:pStyle w:val="ListBullet"/>
        <w:spacing w:before="20" w:after="40" w:line="276" w:lineRule="auto"/>
      </w:pPr>
      <w:r>
        <w:rPr>
          <w:rFonts w:ascii="Arial" w:hAnsi="Arial"/>
          <w:b/>
          <w:color w:val="1E1E1E"/>
          <w:sz w:val="20"/>
        </w:rPr>
        <w:t xml:space="preserve">4. Khóa luận sớm: </w:t>
      </w:r>
      <w:r>
        <w:rPr>
          <w:rFonts w:ascii="Arial" w:hAnsi="Arial"/>
          <w:color w:val="282828"/>
          <w:sz w:val="20"/>
        </w:rPr>
        <w:t>Đăng ký Khóa luận sớm từ học kỳ 7: Khi đã tích lũy trên 105 tín chỉ ở cuối năm 3, nộp đơn đăng ký Khóa luận tốt nghiệp sớm vào học kỳ 1 của năm thứ tư (HK7) thay vì đợi đến HK8.</w:t>
      </w:r>
    </w:p>
    <w:p>
      <w:pPr>
        <w:keepNext/>
        <w:spacing w:before="280" w:after="80"/>
      </w:pPr>
      <w:r>
        <w:rPr>
          <w:rFonts w:ascii="Arial" w:hAnsi="Arial"/>
          <w:b/>
          <w:color w:val="003366"/>
          <w:sz w:val="26"/>
        </w:rPr>
        <w:t>PHẦN 11: GIẢI ĐÁP 10 CA HỌC VỤ &amp; ĐỊNH HƯỚNG CHUYÊN MÔN THỰC CHIẾN (FAQ ENGINE)</w:t>
      </w:r>
    </w:p>
    <w:p>
      <w:pPr>
        <w:pStyle w:val="ListBullet"/>
        <w:spacing w:before="20" w:after="40" w:line="276" w:lineRule="auto"/>
      </w:pPr>
      <w:r>
        <w:rPr>
          <w:rFonts w:ascii="Arial" w:hAnsi="Arial"/>
          <w:b/>
          <w:color w:val="1E1E1E"/>
          <w:sz w:val="20"/>
        </w:rPr>
        <w:t xml:space="preserve">• FAQ 1: </w:t>
      </w:r>
      <w:r>
        <w:rPr>
          <w:rFonts w:ascii="Arial" w:hAnsi="Arial"/>
          <w:color w:val="282828"/>
          <w:sz w:val="20"/>
        </w:rPr>
        <w:t>Ca 1: Muốn tốt nghiệp sớm trong 3.5 năm thì cần phân bổ thế nào? -&gt; Trả lời: Sinh viên cần tận dụng tối đa 3 kỳ hè (mỗi kỳ 8 tín chỉ = 24 TC) và đăng ký trung bình 18-20 tín chỉ ở các học kỳ chính. Duy trì CPA ≥ 3.2 để được quyền học vượt và làm KLTN sớm từ học kỳ 7.</w:t>
      </w:r>
    </w:p>
    <w:p>
      <w:pPr>
        <w:pStyle w:val="ListBullet"/>
        <w:spacing w:before="20" w:after="40" w:line="276" w:lineRule="auto"/>
      </w:pPr>
      <w:r>
        <w:rPr>
          <w:rFonts w:ascii="Arial" w:hAnsi="Arial"/>
          <w:b/>
          <w:color w:val="1E1E1E"/>
          <w:sz w:val="20"/>
        </w:rPr>
        <w:t xml:space="preserve">• FAQ 2: </w:t>
      </w:r>
      <w:r>
        <w:rPr>
          <w:rFonts w:ascii="Arial" w:hAnsi="Arial"/>
          <w:color w:val="282828"/>
          <w:sz w:val="20"/>
        </w:rPr>
        <w:t>Ca 2: Rớt môn tiên quyết thì ảnh hưởng thế nào? -&gt; Trả lời: Môn phụ thuộc ở kỳ sau sẽ bị khóa hoàn toàn. Do đó nếu rớt môn tiên quyết, sinh viên phải đăng ký học lại môn đó ngay ở học kỳ sớm nhất có mở lớp (hoặc kỳ hè) để giải phóng cây môn học tiếp theo.</w:t>
      </w:r>
    </w:p>
    <w:p>
      <w:pPr>
        <w:pStyle w:val="ListBullet"/>
        <w:spacing w:before="20" w:after="40" w:line="276" w:lineRule="auto"/>
      </w:pPr>
      <w:r>
        <w:rPr>
          <w:rFonts w:ascii="Arial" w:hAnsi="Arial"/>
          <w:b/>
          <w:color w:val="1E1E1E"/>
          <w:sz w:val="20"/>
        </w:rPr>
        <w:t xml:space="preserve">• FAQ 3: </w:t>
      </w:r>
      <w:r>
        <w:rPr>
          <w:rFonts w:ascii="Arial" w:hAnsi="Arial"/>
          <w:color w:val="282828"/>
          <w:sz w:val="20"/>
        </w:rPr>
        <w:t>Ca 3: Có thể học môn ở Khoa khác để tính vào tín chỉ tự chọn không? -&gt; Trả lời: Được, nếu trong khung CTĐT ngành của bạn có khối kiến thức 'Tự chọn tự do'. Sinh viên cần kiểm tra kỹ số lượng tín chỉ tự chọn tự do cho phép trong khung chương trình của khoa mình.</w:t>
      </w:r>
    </w:p>
    <w:p>
      <w:pPr>
        <w:pStyle w:val="ListBullet"/>
        <w:spacing w:before="20" w:after="40" w:line="276" w:lineRule="auto"/>
      </w:pPr>
      <w:r>
        <w:rPr>
          <w:rFonts w:ascii="Arial" w:hAnsi="Arial"/>
          <w:b/>
          <w:color w:val="1E1E1E"/>
          <w:sz w:val="20"/>
        </w:rPr>
        <w:t xml:space="preserve">• FAQ 4: </w:t>
      </w:r>
      <w:r>
        <w:rPr>
          <w:rFonts w:ascii="Arial" w:hAnsi="Arial"/>
          <w:color w:val="282828"/>
          <w:sz w:val="20"/>
        </w:rPr>
        <w:t>Ca 4: Điểm KLTN dưới 5.0 có được bảo vệ lại không? -&gt; Trả lời: Nếu điểm KLTN dưới 5.0 (không đạt), sinh viên không được chấm lại ngay trong đợt đó mà phải đăng ký làm lại đề tài mới trong học kỳ sau hoặc xin chuyển sang học các môn chuyên đề thay thế tốt nghiệp.</w:t>
      </w:r>
    </w:p>
    <w:p>
      <w:pPr>
        <w:pStyle w:val="ListBullet"/>
        <w:spacing w:before="20" w:after="40" w:line="276" w:lineRule="auto"/>
      </w:pPr>
      <w:r>
        <w:rPr>
          <w:rFonts w:ascii="Arial" w:hAnsi="Arial"/>
          <w:b/>
          <w:color w:val="1E1E1E"/>
          <w:sz w:val="20"/>
        </w:rPr>
        <w:t xml:space="preserve">• FAQ 5: </w:t>
      </w:r>
      <w:r>
        <w:rPr>
          <w:rFonts w:ascii="Arial" w:hAnsi="Arial"/>
          <w:color w:val="282828"/>
          <w:sz w:val="20"/>
        </w:rPr>
        <w:t>Ca 5: Thời điểm nào sinh viên được chọn chuyên ngành hẹp? -&gt; Trả lời: Thông thường vào cuối học kỳ 4 (kết thúc năm 2), các Khoa sẽ tổ chức buổi định hướng chuyên ngành và mở cổng cho sinh viên đăng ký nguyện vọng chuyên ngành căn cứ trên kết quả học tập các môn cơ sở ngành.</w:t>
      </w:r>
    </w:p>
    <w:p>
      <w:pPr>
        <w:pStyle w:val="ListBullet"/>
        <w:spacing w:before="20" w:after="40" w:line="276" w:lineRule="auto"/>
      </w:pPr>
      <w:r>
        <w:rPr>
          <w:rFonts w:ascii="Arial" w:hAnsi="Arial"/>
          <w:b/>
          <w:color w:val="1E1E1E"/>
          <w:sz w:val="20"/>
        </w:rPr>
        <w:t xml:space="preserve">• FAQ 6: </w:t>
      </w:r>
      <w:r>
        <w:rPr>
          <w:rFonts w:ascii="Arial" w:hAnsi="Arial"/>
          <w:color w:val="282828"/>
          <w:sz w:val="20"/>
        </w:rPr>
        <w:t>Ca 6: Học Song bằng thì học phí tính thế nào? -&gt; Trả lời: Học phí ngành 1 đóng theo định mức quy định của ngành 1. Các học phần thuộc ngành 2 đóng học phí theo số tín chỉ thực tế đăng ký của ngành 2. Môn tương đương được công nhận chuyển điểm không phải đóng lại học phí.</w:t>
      </w:r>
    </w:p>
    <w:p>
      <w:pPr>
        <w:pStyle w:val="ListBullet"/>
        <w:spacing w:before="20" w:after="40" w:line="276" w:lineRule="auto"/>
      </w:pPr>
      <w:r>
        <w:rPr>
          <w:rFonts w:ascii="Arial" w:hAnsi="Arial"/>
          <w:b/>
          <w:color w:val="1E1E1E"/>
          <w:sz w:val="20"/>
        </w:rPr>
        <w:t xml:space="preserve">• FAQ 7: </w:t>
      </w:r>
      <w:r>
        <w:rPr>
          <w:rFonts w:ascii="Arial" w:hAnsi="Arial"/>
          <w:color w:val="282828"/>
          <w:sz w:val="20"/>
        </w:rPr>
        <w:t>Ca 7: Nghỉ học tạm thời có bị mất chỗ ở Ký túc xá không? -&gt; Trả lời: Có. Khi nghỉ học tạm thời, sinh viên không còn trạng thái 'đang theo học' nên Trung tâm Quản lý KTX sẽ yêu cầu trả phòng KTX theo đúng nội quy ký túc xá ĐHQG-HCM.</w:t>
      </w:r>
    </w:p>
    <w:p>
      <w:pPr>
        <w:pStyle w:val="ListBullet"/>
        <w:spacing w:before="20" w:after="40" w:line="276" w:lineRule="auto"/>
      </w:pPr>
      <w:r>
        <w:rPr>
          <w:rFonts w:ascii="Arial" w:hAnsi="Arial"/>
          <w:b/>
          <w:color w:val="1E1E1E"/>
          <w:sz w:val="20"/>
        </w:rPr>
        <w:t xml:space="preserve">• FAQ 8: </w:t>
      </w:r>
      <w:r>
        <w:rPr>
          <w:rFonts w:ascii="Arial" w:hAnsi="Arial"/>
          <w:color w:val="282828"/>
          <w:sz w:val="20"/>
        </w:rPr>
        <w:t>Ca 8: Cố vấn học vụ có quyền xóa môn học của sinh viên không? -&gt; Trả lời: Cố vấn học vụ không trực tiếp bấm xóa trên Portal nhưng có quyền kiến nghị Phòng Đào tạo hủy kết quả đăng ký môn học của sinh viên nếu phát hiện sinh viên đăng ký sai quy chế, vượt quá hạn mức hoặc không đủ điều kiện tiên quyết.</w:t>
      </w:r>
    </w:p>
    <w:p>
      <w:pPr>
        <w:pStyle w:val="ListBullet"/>
        <w:spacing w:before="20" w:after="40" w:line="276" w:lineRule="auto"/>
      </w:pPr>
      <w:r>
        <w:rPr>
          <w:rFonts w:ascii="Arial" w:hAnsi="Arial"/>
          <w:b/>
          <w:color w:val="1E1E1E"/>
          <w:sz w:val="20"/>
        </w:rPr>
        <w:t xml:space="preserve">• FAQ 9: </w:t>
      </w:r>
      <w:r>
        <w:rPr>
          <w:rFonts w:ascii="Arial" w:hAnsi="Arial"/>
          <w:color w:val="282828"/>
          <w:sz w:val="20"/>
        </w:rPr>
        <w:t>Ca 9: Thủ tục xin gia hạn thời gian làm Khóa luận tốt nghiệp? -&gt; Trả lời: Trường hợp nghiên cứu phát sinh khối lượng lớn chưa kịp bảo vệ, sinh viên phải làm Đơn xin gia hạn có xác nhận của Cán bộ hướng dẫn gửi Ban Chủ nhiệm Khoa trước ngày bảo vệ ít nhất 2 tuần, thời gian gia hạn tối đa là 1 học kỳ chính.</w:t>
      </w:r>
    </w:p>
    <w:p>
      <w:pPr>
        <w:pStyle w:val="ListBullet"/>
        <w:spacing w:before="20" w:after="40" w:line="276" w:lineRule="auto"/>
      </w:pPr>
      <w:r>
        <w:rPr>
          <w:rFonts w:ascii="Arial" w:hAnsi="Arial"/>
          <w:b/>
          <w:color w:val="1E1E1E"/>
          <w:sz w:val="20"/>
        </w:rPr>
        <w:t xml:space="preserve">• FAQ 10: </w:t>
      </w:r>
      <w:r>
        <w:rPr>
          <w:rFonts w:ascii="Arial" w:hAnsi="Arial"/>
          <w:color w:val="282828"/>
          <w:sz w:val="20"/>
        </w:rPr>
        <w:t>Ca 10: Tích lũy 103 tín chỉ có được châm chước đăng ký Khóa luận không? -&gt; Trả lời: Quy chế quy định cứng mốc 105 tín chỉ. Tuy nhiên, nếu sinh viên đang học song hành các môn còn lại trong học kỳ đó để đủ 105 TC và có xác nhận bảo lãnh của Trưởng Bộ môn, Ban Giám hiệu có thể xem xét phê duyệt từng trường hợp cụ thể.</w:t>
      </w:r>
    </w:p>
    <w:p>
      <w:pPr>
        <w:keepNext/>
        <w:spacing w:before="280" w:after="80"/>
      </w:pPr>
      <w:r>
        <w:rPr>
          <w:rFonts w:ascii="Arial" w:hAnsi="Arial"/>
          <w:b/>
          <w:color w:val="003366"/>
          <w:sz w:val="26"/>
        </w:rPr>
        <w:t>PHẦN 12: DANH BẠ KẾT NỐI GIÁO VỤ &amp; CỐ VẤN HỌC VỤ CÁC KHOA CHUYÊN MÔN</w:t>
      </w:r>
    </w:p>
    <w:p>
      <w:pPr>
        <w:spacing w:before="40" w:after="60" w:line="276" w:lineRule="auto"/>
      </w:pPr>
      <w:r>
        <w:rPr>
          <w:rFonts w:ascii="Arial" w:hAnsi="Arial"/>
          <w:color w:val="282828"/>
          <w:sz w:val="20"/>
        </w:rPr>
        <w:t>Khi cần phê duyệt đơn học vụ hoặc xin tư vấn chuyên môn, sinh viên liên hệ Trợ lý Giáo vụ các Khoa: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Khoa Chuyên Môn</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Văn Phòng Khoa</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Email Giáo Vụ Khoa</w:t>
            </w:r>
          </w:p>
        </w:tc>
        <w:tc>
          <w:tcPr>
            <w:tcW w:type="dxa" w:w="1728"/>
            <w:shd w:val="clear" w:color="auto" w:fill="003366"/>
            <w:tcMar>
              <w:top w:w="100" w:type="dxa"/>
              <w:bottom w:w="100" w:type="dxa"/>
              <w:left w:w="120" w:type="dxa"/>
              <w:right w:w="120" w:type="dxa"/>
            </w:tcMar>
          </w:tcPr>
          <w:p>
            <w:pPr>
              <w:jc w:val="center"/>
            </w:pPr>
            <w:r>
              <w:rPr>
                <w:rFonts w:ascii="Arial" w:hAnsi="Arial"/>
                <w:b/>
                <w:color w:val="FFFFFF"/>
                <w:sz w:val="19"/>
              </w:rPr>
              <w:t>Số Điện Thoại Nội Bộ</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Khoa Công nghệ Thông tin</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Tòa nhà E (CS1) &amp; Tầng 1 Nhà C (CS2)</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giaovu@fit.hcmus.edu.vn</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(028) 62884499 (ext 4001)</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Khoa Hóa học</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Nhà I, Lầu 2 (CS1) &amp; Nhà B (CS2)</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hoahoc@hcmus.edu.vn</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(028) 62884499 (ext 2200)</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Khoa Sinh học - CNSH</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Nhà B, Lầu 1 (CS1) &amp; Nhà C (CS2)</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biology@hcmus.edu.vn</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(028) 62884499 (ext 3100)</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Khoa Toán - Tin học</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Nhà C, Lầu 2 (CS1) &amp; Nhà C (CS2)</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math@hcmus.edu.vn</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(028) 62884499 (ext 1120)</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Khoa Vật lý - VLKT</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Nhà B, Lầu 2 (CS1) &amp; Nhà C (CS2)</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phys@hcmus.edu.vn</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(028) 62884499 (ext 2100)</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Khoa Điện tử - Viễn thông</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Tòa nhà F, Lầu 3 (CS1)</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fet@hcmus.edu.vn</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(028) 62884499 (ext 4100)</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Khoa Môi trường</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Nhà B, Lầu 3 (CS1)</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env@hcmus.edu.vn</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(028) 62884499 (ext 3300)</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Khoa Địa chất</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Nhà C, Tầng trệt (CS1)</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geology@hcmus.edu.vn</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(028) 62884499 (ext 2500)</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