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4 TÍNH CHẤT CỐT LÕI LẬP TRÌNH HƯỚNG ĐỐI TƯỢNG (OOP)</w:t>
      </w:r>
    </w:p>
    <w:p>
      <w:r>
        <w:t>Trường ĐH Khoa học Tự nhiên, ĐHQG-HCM | Trung tâm Hỗ trợ Học thuật Sinh viên</w:t>
      </w:r>
    </w:p>
    <w:p>
      <w:r>
        <w:t>Cẩm nang chuyên sâu môn CSC10003 Phương pháp Lập trình Hướng đối tượng:</w:t>
        <w:br/>
        <w:t>1. Tính Đóng gói (Encapsulation): Che giấu thông tin qua access specifier (private, protected, public). Getter/Setter chuẩn mực.</w:t>
        <w:br/>
        <w:t>2. Tính Kế thừa (Inheritance): Tái sử dụng mã nguồn qua quan hệ "is-a". Phân biệt public, protected và private inheritance.</w:t>
        <w:br/>
        <w:t>3. Tính Đa hình (Polymorphism): Đa hình tĩnh (Function Overloading, Operator Overloading) và Đa hình động (Virtual Functions, VTable, Pure Virtual Function).</w:t>
        <w:br/>
        <w:t>4. Tính Trừu tượng (Abstraction): Abstract Class, Interface và nguyên lý thiết kế SOLID.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