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QUAN HỆ THỐNG MÁY TÍNH - HỢP NGỮ MIPS VÀ X86</w:t>
      </w:r>
    </w:p>
    <w:p>
      <w:r>
        <w:t>Trường ĐH Khoa học Tự nhiên, ĐHQG-HCM | Trung tâm Hỗ trợ Học thuật Sinh viên</w:t>
      </w:r>
    </w:p>
    <w:p>
      <w:r>
        <w:t>Cẩm nang môn CSC10009 Hệ thống máy tính:</w:t>
        <w:br/>
        <w:t>1. Biểu diễn dữ liệu số: Số nguyên có dấu bù 2 (Two's Complement), Số chấm động chuẩn IEEE 754 (Single &amp; Double Precision), Lỗi tràn số (Overflow).</w:t>
        <w:br/>
        <w:t>2. Kiến trúc tập lệnh MIPS: Tập thanh ghi ($zero, $t0-$t9, $s0-$s7, $sp, $ra). Định dạng lệnh R-type, I-type, J-type. Lệnh rẽ nhánh và gọi hàm nhảy JAL.</w:t>
        <w:br/>
        <w:t>3. Hệ thống bộ nhớ và Pipeline: Phân cấp bộ nhớ (Register -&gt; Cache L1/L2/L3 -&gt; RAM -&gt; Disk), Cơ chế ánh xạ Cache (Direct Mapped, Set Associative), Xung đột Hazard trong CPU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