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SỔ TAY CÔNG THỨC VÀ CÁC DẠNG TOÁN ĐẠI SỐ TUYẾN TÍNH</w:t>
      </w:r>
    </w:p>
    <w:p>
      <w:r>
        <w:t>Trường ĐH Khoa học Tự nhiên, ĐHQG-HCM | Trung tâm Hỗ trợ Học thuật Sinh viên</w:t>
      </w:r>
    </w:p>
    <w:p>
      <w:r>
        <w:t>Tóm tắt các dạng toán trọng tâm của môn Đại số tuyến tính:</w:t>
        <w:br/>
        <w:t>1. Khử Gauss và Giải hệ phương trình tuyến tính: Đưa ma trận mở rộng về ma trận bậc thang. Biện luận nghiệm theo định lý Kronecker-Capelli.</w:t>
        <w:br/>
        <w:t>2. Không gian Vector và Cơ sở: Tìm số chiều (dim), kiểm tra hệ độc lập tuyến tính / phụ thuộc tuyến tính, tọa độ vector đối với cơ sở mới.</w:t>
        <w:br/>
        <w:t>3. Ma trận chuyển cơ sở, Trị riêng và Vector riêng: Phương trình đặc trưng det(A - lambda*I) = 0. Điều kiện ma trận chéo hóa được và ứng dụng trong tính lũy thừa ma trận A^n.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