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CƯƠNG VÀ CÂU HỎI ÔN TẬP CHỦ NGHĨA XÃ HỘI KHOA HỌC</w:t>
      </w:r>
    </w:p>
    <w:p>
      <w:r>
        <w:t>Trường ĐH Khoa học Tự nhiên, ĐHQG-HCM | Trung tâm Hỗ trợ Học thuật Sinh viên</w:t>
      </w:r>
    </w:p>
    <w:p>
      <w:r>
        <w:t>1. Sứ mệnh lịch sử của giai cấp công nhân: Điều kiện khách quan và nhân tố chủ quan quy định sứ mệnh lịch sử xóa bỏ áp bức bóc lột, xây dựng xã hội mới XHCN.</w:t>
        <w:br/>
        <w:t>2. Thời kỳ quá độ lên chủ nghĩa xã hội: Tính tất yếu, đặc điểm kinh tế - chính trị - văn hóa xã hội trong thời kỳ quá độ bỏ qua chế độ tư bản chủ nghĩa ở Việt Nam.</w:t>
        <w:br/>
        <w:t>3. Dân chủ xã hội chủ nghĩa và Nhà nước pháp quyền XHCN: Bản chất nhà nước của dân, do dân, vì dân; Liên minh giai cấp công nhân với nông dân và tầng lớp trí thức trong thời kỳ mới.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