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ĐỀ CƯƠNG VÀ CÂU HỎI ÔN TẬP LỊCH SỬ ĐẢNG CỘNG SẢN VIỆT NAM</w:t>
      </w:r>
    </w:p>
    <w:p>
      <w:r>
        <w:t>Trường ĐH Khoa học Tự nhiên, ĐHQG-HCM | Trung tâm Hỗ trợ Học thuật Sinh viên</w:t>
      </w:r>
    </w:p>
    <w:p>
      <w:r>
        <w:t>1. Đảng Cộng sản Việt Nam ra đời (03/02/1930): Bối cảnh lịch sử, Hội nghị thành lập Đảng và Cương lĩnh chính trị đầu tiên do Nguyễn Ái Quốc khởi thảo.</w:t>
        <w:br/>
        <w:t>2. Lãnh đạo giành chính quyền (1930 - 1945): Cách mạng Tháng Tám năm 1945 và sự ra đời của nước Việt Nam Dân chủ Cộng hòa.</w:t>
        <w:br/>
        <w:t>3. Kháng chiến và Đổi mới: Thắng lợi Điện Biên Phủ 1954, Đại thắng mùa Xuân 1975 thống nhất đất nước; Đường lối Đổi mới toàn diện tại Đại hội VI (1986) và các thành tựu hội nhập quốc tế.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