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PHƯƠNG PHÁP THIẾT KẾ VÀ TỐI ƯU HÓA GIẢI THUẬT NÂNG CAO</w:t>
      </w:r>
    </w:p>
    <w:p>
      <w:r>
        <w:t>Trường ĐH Khoa học Tự nhiên, ĐHQG-HCM | Trung tâm Hỗ trợ Học thuật Sinh viên</w:t>
      </w:r>
    </w:p>
    <w:p>
      <w:r>
        <w:t>Cẩm nang môn CSC14111 Thiết kế và Phân tích giải thuật:</w:t>
        <w:br/>
        <w:t>1. Kỹ thuật Chia để trị (Divide and Conquer): Định lý thợ (Master Theorem) tính độ phức tạp hàm đệ quy.</w:t>
        <w:br/>
        <w:t>2. Quy hoạch động (Dynamic Programming): Tính chất cấu trúc con tối ưu (Optimal Substructure) và bài toán con gối nhau (Overlapping Subproblems). Kỹ thuật Memoization và Tabulation.</w:t>
        <w:br/>
        <w:t>3. Thuật toán Tham lam (Greedy) và Nhánh cận (Branch and Bound): Bài toán balo Knapsack, Cây khung nhỏ nhất, Bài toán người bán hàng TSP.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