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CƠ SỞ MẬT MÃ HỌC VÀ BẢO MẬT THÔNG TIN</w:t>
      </w:r>
    </w:p>
    <w:p>
      <w:r>
        <w:t>Trường ĐH Khoa học Tự nhiên, ĐHQG-HCM | Trung tâm Hỗ trợ Học thuật Sinh viên</w:t>
      </w:r>
    </w:p>
    <w:p>
      <w:r>
        <w:t>Cẩm nang môn CSC15005 Nhập môn Mã hóa mật mã:</w:t>
        <w:br/>
        <w:t>1. Hệ mật mã đối xứng (Symmetric Key Cryptography): Thuật toán mã khối DES, 3DES, AES (Advanced Encryption Standard). Các chế độ hoạt động ECB, CBC, CTR.</w:t>
        <w:br/>
        <w:t>2. Hệ mật mã bất đối xứng (Public Key Cryptography): Bài toán phân tích thừa số nguyên tố RSA, Trao đổi khóa Diffie-Hellman, Hệ mật trên đường cong elliptic (ECC).</w:t>
        <w:br/>
        <w:t>3. Hàm băm mật mã và Chữ ký số: MD5, SHA-256, SHA-3. Đảm bảo tính toàn vẹn (Integrity) và chống chối bỏ (Non-repudiation). Cơ sở hạ tầng khóa công khai PKI.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