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CHÍNH SÁCH AN TOÀN VÀ PHỤC HỒI DỮ LIỆU DOANH NGHIỆP</w:t>
      </w:r>
    </w:p>
    <w:p>
      <w:r>
        <w:t>Trường ĐH Khoa học Tự nhiên, ĐHQG-HCM | Trung tâm Hỗ trợ Học thuật Sinh viên</w:t>
      </w:r>
    </w:p>
    <w:p>
      <w:r>
        <w:t>Cẩm nang môn CSC15104 An toàn và phục hồi dữ liệu:</w:t>
        <w:br/>
        <w:t>1. Chiến lược sao lưu (Backup Strategy): Quy tắc 3-2-1 (3 bản sao, 2 loại phương tiện, 1 bản off-site). Phân biệt Full Backup, Differential Backup và Incremental Backup.</w:t>
        <w:br/>
        <w:t>2. Kế hoạch khắc phục thảm họa (Disaster Recovery): Chỉ số RTO (Recovery Time Objective) và RPO (Recovery Point Objective). Xây dựng kịch bản dự phòng nóng/lạnh.</w:t>
        <w:br/>
        <w:t>3. Khôi phục dữ liệu vật lý và logic: Phục hồi bảng phân vùng MBR/GPT, hệ thống tệp NTFS/EXT4 khi bị format nhầm hoặc mã hóa Ransomware.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