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3366"/>
          <w:sz w:val="32"/>
        </w:rPr>
        <w:t>TÀI LIỆU CƠ SỞ TRI THỨC BẬC CAO (MASTER KNOWLEDGE BASE)</w:t>
      </w:r>
    </w:p>
    <w:p>
      <w:pPr>
        <w:jc w:val="center"/>
      </w:pPr>
      <w:r>
        <w:rPr>
          <w:rFonts w:ascii="Arial" w:hAnsi="Arial"/>
          <w:i/>
          <w:color w:val="646464"/>
          <w:sz w:val="20"/>
        </w:rPr>
        <w:t>AGENT: GPA &amp; ACADEMIC STANDING AGENT (ĐIỂM SỐ, HỌC LỰC &amp; CẢNH BÁO HỌC VỤ)</w:t>
        <w:br/>
        <w:t>HCMUS Smart Campus – Sub-space 01: Academic &amp; Training | Wesome AI Platform</w:t>
      </w:r>
    </w:p>
    <w:p/>
    <w:tbl>
      <w:tblPr>
        <w:tblW w:type="auto" w:w="0"/>
        <w:jc w:val="center"/>
        <w:tblLook w:firstColumn="1" w:firstRow="1" w:lastColumn="0" w:lastRow="0" w:noHBand="0" w:noVBand="1" w:val="04A0"/>
      </w:tblPr>
      <w:tblGrid>
        <w:gridCol w:w="9648"/>
      </w:tblGrid>
      <w:tr>
        <w:tc>
          <w:tcPr>
            <w:tcW w:type="dxa" w:w="9648"/>
            <w:shd w:val="clear" w:color="auto" w:fill="1B365D"/>
            <w:tcMar>
              <w:top w:w="100" w:type="dxa"/>
              <w:bottom w:w="100" w:type="dxa"/>
              <w:left w:w="120" w:type="dxa"/>
              <w:right w:w="120" w:type="dxa"/>
            </w:tcMar>
          </w:tcPr>
          <w:p>
            <w:pPr>
              <w:jc w:val="center"/>
            </w:pPr>
            <w:r>
              <w:rPr>
                <w:rFonts w:ascii="Arial" w:hAnsi="Arial"/>
                <w:b/>
                <w:color w:val="FFFFFF"/>
                <w:sz w:val="19"/>
              </w:rPr>
              <w:t>TỔNG QUAN TÀI NGUYÊN: Tài liệu này đóng vai trò là Lõi Tri Thức Độc Lập Toàn Diện (Self-Contained Master Knowledge Base) của GPA &amp; Academic Standing Agent. Văn bản hợp nhất toàn bộ lý thuyết tính toán, mô phỏng What-if GPA Engine, kèm theo NGUYÊN VĂN các Quy chế Đào tạo tín chỉ, Quy định Khảo thí, Quy chế Đánh giá Rèn luyện và Khen thưởng Kỷ luật được trích xuất từ Sổ tay Sinh viên Trường ĐH Khoa học Tự nhiên, ĐHQG-HCM.</w:t>
            </w:r>
          </w:p>
        </w:tc>
      </w:tr>
    </w:tbl>
    <w:p/>
    <w:p>
      <w:pPr>
        <w:spacing w:after="80" w:line="276" w:lineRule="auto"/>
      </w:pPr>
      <w:r>
        <w:rPr>
          <w:rFonts w:ascii="Arial" w:hAnsi="Arial"/>
          <w:color w:val="282828"/>
          <w:sz w:val="20"/>
        </w:rPr>
        <w:t>TÀI LIỆU CƠ SỞ TRI THỨC BẬC CAO (EXHAUSTIVE MASTER KNOWLEDGE BASE)</w:t>
        <w:br/>
        <w:t>QUY CHẾ ĐIỂM SỐ, GPA, TÌNH TRẠNG HỌC VỤ &amp; KẾT QUẢ RÈN LUYỆN HCMUS SMART CAMPUS – SUB-SPACE 01: ACADEMIC &amp; TRAINING HUB</w:t>
        <w:br/>
        <w:t>AGENT: GPA &amp; ACADEMIC STANDING AGENT (gpa-academic-standing-agent)</w:t>
        <w:br/>
        <w:t>Nguồn tài liệu: Sổ tay Sinh viên 2025-2026, QĐ 1175/QĐ-KHTN, QĐ 2738/QĐ-KHTN, Quy chế DRL</w:t>
      </w:r>
    </w:p>
    <w:p>
      <w:pPr>
        <w:spacing w:before="200" w:after="80"/>
      </w:pPr>
      <w:r>
        <w:rPr>
          <w:rFonts w:ascii="Arial" w:hAnsi="Arial"/>
          <w:b/>
          <w:color w:val="003366"/>
          <w:sz w:val="25"/>
        </w:rPr>
        <w:t>PHẦN 1: MÔ HÌNH TOÁN HỌC, THANG ĐIỂM &amp; BỘ MÔ PHỎNG WHAT-IF GPA ENGINE</w:t>
      </w:r>
    </w:p>
    <w:p>
      <w:pPr>
        <w:spacing w:after="80" w:line="276" w:lineRule="auto"/>
      </w:pPr>
      <w:r>
        <w:rPr>
          <w:rFonts w:ascii="Arial" w:hAnsi="Arial"/>
          <w:color w:val="282828"/>
          <w:sz w:val="20"/>
        </w:rPr>
        <w:t>1.1 Thang Điểm Học Phần, Điểm Chữ và Quy Đổi Hệ 4.0 Căn cứ theo Điều 11 Quy chế Đào tạo tín chỉ (QĐ 1175/QĐ-KHTN), HCMUS sử dụng hệ thống chuyển đổi điểm ba bậc: Thang điểm 10 (chấm điểm thành phần và tổng kết) -&gt; Điểm chữ (Letter Grade) -&gt; Điểm số thang 4 (sử dụng tính GPA).</w:t>
      </w:r>
    </w:p>
    <w:p>
      <w:pPr>
        <w:spacing w:after="80" w:line="276" w:lineRule="auto"/>
      </w:pPr>
      <w:r>
        <w:rPr>
          <w:rFonts w:ascii="Arial" w:hAnsi="Arial"/>
          <w:color w:val="282828"/>
          <w:sz w:val="20"/>
        </w:rPr>
        <w:t>1.2 Phân Biệt Điểm Trung Bình Học Kỳ (SGPA) và Điểm Trung Bình Tích Lũy (CGPA) Điểm trung bình học kỳ (Semester GPA - SGPA): Tính từ TẤT CẢ các môn mà sinh viên đã đăng ký học trong học kỳ đó, bao gồm CẢ MÔN ĐẠT LẪN MÔN KHÔNG ĐẠT (điểm &lt; 5.0). Được sử dụng trực tiếp để xét CẢNH BÁO HỌC VỤ và xét HỌC BỔNG KHUYẾN KHÍCH HỌC TẬP.</w:t>
      </w:r>
    </w:p>
    <w:p>
      <w:pPr>
        <w:spacing w:after="80" w:line="276" w:lineRule="auto"/>
      </w:pPr>
      <w:r>
        <w:rPr>
          <w:rFonts w:ascii="Arial" w:hAnsi="Arial"/>
          <w:color w:val="282828"/>
          <w:sz w:val="20"/>
        </w:rPr>
        <w:t>Điểm trung bình tích lũy (Cumulative GPA - CGPA): Tính từ TẤT CẢ các môn mà sinh viên ĐÃ ĐẠT (điểm &gt;= 5.0) kể từ đầu khóa học cho đến thời điểm xét. Dùng để xét HẠNG TỐT NGHIỆP, xét điều kiện làm khóa luận tốt nghiệp, xét khen thưởng cuối khóa.</w:t>
      </w:r>
    </w:p>
    <w:p>
      <w:pPr>
        <w:spacing w:after="80" w:line="276" w:lineRule="auto"/>
      </w:pPr>
      <w:r>
        <w:rPr>
          <w:rFonts w:ascii="Arial" w:hAnsi="Arial"/>
          <w:color w:val="282828"/>
          <w:sz w:val="20"/>
        </w:rPr>
        <w:t>Loại trừ học phần không tính điểm: Theo Khoản 1c Điều 15, các học phần KHÔNG tính vào SGPA và CGPA gồm: Giáo dục quốc phòng - An ninh (GDQP-AN), Giáo dục thể chất (GDTC), Ngoại ngữ tổng quát (Anh văn 1, 2, 3, 4 chương trình chuẩn), Tin học cơ sở và các học phần đặc thù quy định riêng.</w:t>
      </w:r>
    </w:p>
    <w:p>
      <w:pPr>
        <w:spacing w:after="80" w:line="276" w:lineRule="auto"/>
      </w:pPr>
      <w:r>
        <w:rPr>
          <w:rFonts w:ascii="Arial" w:hAnsi="Arial"/>
          <w:color w:val="282828"/>
          <w:sz w:val="20"/>
        </w:rPr>
        <w:t>1.3 Công Thức Toán Học Chính Thức (Khoản 2 Điều 15) Công thức tổng quát xác định điểm trung bình:</w:t>
      </w:r>
    </w:p>
    <w:p>
      <w:pPr>
        <w:spacing w:after="80" w:line="276" w:lineRule="auto"/>
      </w:pPr>
      <w:r>
        <w:rPr>
          <w:rFonts w:ascii="Arial" w:hAnsi="Arial"/>
          <w:color w:val="282828"/>
          <w:sz w:val="20"/>
        </w:rPr>
        <w:t>CÔNG THỨC: A = [ Σ (ai × ni) ] / [ Σ ni ] Trong đó:</w:t>
        <w:br/>
        <w:t>- A: Điểm trung bình học kỳ hoặc điểm trung bình tích lũy.</w:t>
        <w:br/>
        <w:t>- ai: Điểm học phần của học phần thứ i (thang 10 hoặc thang 4).</w:t>
        <w:br/>
        <w:t>- ni: Số tín chỉ của học phần thứ i.</w:t>
        <w:br/>
        <w:t>- N: Tổng số học phần tham gia tính điểm.</w:t>
      </w:r>
    </w:p>
    <w:p>
      <w:pPr>
        <w:spacing w:after="80" w:line="276" w:lineRule="auto"/>
      </w:pPr>
      <w:r>
        <w:rPr>
          <w:rFonts w:ascii="Arial" w:hAnsi="Arial"/>
          <w:color w:val="282828"/>
          <w:sz w:val="20"/>
        </w:rPr>
        <w:t>1.4 Thuật Toán Mô Phỏng What-if GPA Simulation Engine Khi sinh viên tự nhập dữ liệu, Agent sử dụng thuật toán sau để tính toán dự báo:</w:t>
      </w:r>
    </w:p>
    <w:p>
      <w:pPr>
        <w:spacing w:after="80" w:line="276" w:lineRule="auto"/>
      </w:pPr>
      <w:r>
        <w:rPr>
          <w:rFonts w:ascii="Arial" w:hAnsi="Arial"/>
          <w:color w:val="282828"/>
          <w:sz w:val="20"/>
        </w:rPr>
        <w:t>CGPA_mới = [ (CGPA_hiện_tại × TC_tích_lũy_hiện_tại) + (SGPA_kỳ_tới × TC_kỳ_tới) ] / [ TC_tích_lũy_hiện_tại + TC_kỳ_tới ] Thuật toán tính điểm mục tiêu: Để nâng CGPA từ mức C0 lên mức mong muốn C_target sau kỳ tới với K tín chỉ:</w:t>
      </w:r>
    </w:p>
    <w:p>
      <w:pPr>
        <w:spacing w:after="80" w:line="276" w:lineRule="auto"/>
      </w:pPr>
      <w:r>
        <w:rPr>
          <w:rFonts w:ascii="Arial" w:hAnsi="Arial"/>
          <w:color w:val="282828"/>
          <w:sz w:val="20"/>
        </w:rPr>
        <w:t>SGPA_cần_đạt = [ C_target × (TC_hiện_tại + K) - (C0 × TC_hiện_tại) ] / K Nếu SGPA_cần_đạt &gt; 4.0 (thang 4) hoặc &gt; 10.0 (thang 10), Agent cảnh báo mục tiêu bất khả thi trong 1 kỳ duy nhất và đề xuất phân bổ mục tiêu qua nhiều học kỳ.</w:t>
      </w:r>
    </w:p>
    <w:p>
      <w:pPr>
        <w:spacing w:after="80" w:line="276" w:lineRule="auto"/>
      </w:pPr>
      <w:r>
        <w:rPr>
          <w:rFonts w:ascii="Arial" w:hAnsi="Arial"/>
          <w:color w:val="282828"/>
          <w:sz w:val="20"/>
        </w:rPr>
        <w:t>1.5 Xếp Loại Học Lực và Tiến Độ Học Tập Xếp trình độ năm học theo số tín chỉ tích lũy (Khoản 3 Điều 15): Kế hoạch học tập chuẩn là 38 tín chỉ/năm học:</w:t>
      </w:r>
    </w:p>
    <w:p>
      <w:pPr>
        <w:spacing w:after="80" w:line="276" w:lineRule="auto"/>
      </w:pPr>
      <w:r>
        <w:rPr>
          <w:rFonts w:ascii="Arial" w:hAnsi="Arial"/>
          <w:color w:val="282828"/>
          <w:sz w:val="20"/>
        </w:rPr>
        <w:t>Trình độ năm thứ nhất: N &lt; 38 tín chỉ.</w:t>
      </w:r>
    </w:p>
    <w:p>
      <w:pPr>
        <w:spacing w:after="80" w:line="276" w:lineRule="auto"/>
      </w:pPr>
      <w:r>
        <w:rPr>
          <w:rFonts w:ascii="Arial" w:hAnsi="Arial"/>
          <w:color w:val="282828"/>
          <w:sz w:val="20"/>
        </w:rPr>
        <w:t>Trình độ năm thứ hai: 38 &lt;= N &lt; 76 tín chỉ.</w:t>
      </w:r>
    </w:p>
    <w:p>
      <w:pPr>
        <w:spacing w:after="80" w:line="276" w:lineRule="auto"/>
      </w:pPr>
      <w:r>
        <w:rPr>
          <w:rFonts w:ascii="Arial" w:hAnsi="Arial"/>
          <w:color w:val="282828"/>
          <w:sz w:val="20"/>
        </w:rPr>
        <w:t>Trình độ năm thứ ba: 76 &lt;= N &lt; 114 tín chỉ.</w:t>
      </w:r>
    </w:p>
    <w:p>
      <w:pPr>
        <w:spacing w:after="80" w:line="276" w:lineRule="auto"/>
      </w:pPr>
      <w:r>
        <w:rPr>
          <w:rFonts w:ascii="Arial" w:hAnsi="Arial"/>
          <w:color w:val="282828"/>
          <w:sz w:val="20"/>
        </w:rPr>
        <w:t>Trình độ năm thứ tư: N &gt;= 114 tín chỉ.</w:t>
      </w:r>
    </w:p>
    <w:tbl>
      <w:tblPr>
        <w:tblW w:type="auto" w:w="0"/>
        <w:jc w:val="center"/>
        <w:tblLook w:firstColumn="1" w:firstRow="1" w:lastColumn="0" w:lastRow="0" w:noHBand="0" w:noVBand="1" w:val="04A0"/>
      </w:tblPr>
      <w:tblGrid>
        <w:gridCol w:w="1930"/>
        <w:gridCol w:w="1930"/>
        <w:gridCol w:w="1930"/>
        <w:gridCol w:w="1930"/>
        <w:gridCol w:w="1930"/>
      </w:tblGrid>
      <w:tr>
        <w:tc>
          <w:tcPr>
            <w:tcW w:type="dxa" w:w="1930"/>
            <w:shd w:val="clear" w:color="auto" w:fill="1B365D"/>
            <w:tcMar>
              <w:top w:w="100" w:type="dxa"/>
              <w:bottom w:w="100" w:type="dxa"/>
              <w:left w:w="120" w:type="dxa"/>
              <w:right w:w="120" w:type="dxa"/>
            </w:tcMar>
          </w:tcPr>
          <w:p>
            <w:pPr>
              <w:jc w:val="center"/>
            </w:pPr>
            <w:r>
              <w:rPr>
                <w:rFonts w:ascii="Arial" w:hAnsi="Arial"/>
                <w:b/>
                <w:color w:val="FFFFFF"/>
                <w:sz w:val="19"/>
              </w:rPr>
              <w:t>Điểm Học Phần (Thang 10)</w:t>
            </w:r>
          </w:p>
        </w:tc>
        <w:tc>
          <w:tcPr>
            <w:tcW w:type="dxa" w:w="1930"/>
            <w:shd w:val="clear" w:color="auto" w:fill="1B365D"/>
            <w:tcMar>
              <w:top w:w="100" w:type="dxa"/>
              <w:bottom w:w="100" w:type="dxa"/>
              <w:left w:w="120" w:type="dxa"/>
              <w:right w:w="120" w:type="dxa"/>
            </w:tcMar>
          </w:tcPr>
          <w:p>
            <w:pPr>
              <w:jc w:val="center"/>
            </w:pPr>
            <w:r>
              <w:rPr>
                <w:rFonts w:ascii="Arial" w:hAnsi="Arial"/>
                <w:b/>
                <w:color w:val="FFFFFF"/>
                <w:sz w:val="19"/>
              </w:rPr>
              <w:t>Xếp Loại Học Lực</w:t>
            </w:r>
          </w:p>
        </w:tc>
        <w:tc>
          <w:tcPr>
            <w:tcW w:type="dxa" w:w="1930"/>
            <w:shd w:val="clear" w:color="auto" w:fill="1B365D"/>
            <w:tcMar>
              <w:top w:w="100" w:type="dxa"/>
              <w:bottom w:w="100" w:type="dxa"/>
              <w:left w:w="120" w:type="dxa"/>
              <w:right w:w="120" w:type="dxa"/>
            </w:tcMar>
          </w:tcPr>
          <w:p>
            <w:pPr>
              <w:jc w:val="center"/>
            </w:pPr>
            <w:r>
              <w:rPr>
                <w:rFonts w:ascii="Arial" w:hAnsi="Arial"/>
                <w:b/>
                <w:color w:val="FFFFFF"/>
                <w:sz w:val="19"/>
              </w:rPr>
              <w:t>Điểm Chữ (Letter)</w:t>
            </w:r>
          </w:p>
        </w:tc>
        <w:tc>
          <w:tcPr>
            <w:tcW w:type="dxa" w:w="1930"/>
            <w:shd w:val="clear" w:color="auto" w:fill="1B365D"/>
            <w:tcMar>
              <w:top w:w="100" w:type="dxa"/>
              <w:bottom w:w="100" w:type="dxa"/>
              <w:left w:w="120" w:type="dxa"/>
              <w:right w:w="120" w:type="dxa"/>
            </w:tcMar>
          </w:tcPr>
          <w:p>
            <w:pPr>
              <w:jc w:val="center"/>
            </w:pPr>
            <w:r>
              <w:rPr>
                <w:rFonts w:ascii="Arial" w:hAnsi="Arial"/>
                <w:b/>
                <w:color w:val="FFFFFF"/>
                <w:sz w:val="19"/>
              </w:rPr>
              <w:t>Điểm Thang 4</w:t>
            </w:r>
          </w:p>
        </w:tc>
        <w:tc>
          <w:tcPr>
            <w:tcW w:type="dxa" w:w="1930"/>
            <w:shd w:val="clear" w:color="auto" w:fill="1B365D"/>
            <w:tcMar>
              <w:top w:w="100" w:type="dxa"/>
              <w:bottom w:w="100" w:type="dxa"/>
              <w:left w:w="120" w:type="dxa"/>
              <w:right w:w="120" w:type="dxa"/>
            </w:tcMar>
          </w:tcPr>
          <w:p>
            <w:pPr>
              <w:jc w:val="center"/>
            </w:pPr>
            <w:r>
              <w:rPr>
                <w:rFonts w:ascii="Arial" w:hAnsi="Arial"/>
                <w:b/>
                <w:color w:val="FFFFFF"/>
                <w:sz w:val="19"/>
              </w:rPr>
              <w:t>Ý Nghĩa Học Vụ &amp; Tín Chỉ Tích Lũy</w:t>
            </w:r>
          </w:p>
        </w:tc>
      </w:tr>
      <w:tr>
        <w:tc>
          <w:tcPr>
            <w:tcW w:type="dxa" w:w="1930"/>
            <w:shd w:val="clear" w:color="auto" w:fill="F2F5F9"/>
            <w:tcMar>
              <w:top w:w="100" w:type="dxa"/>
              <w:bottom w:w="100" w:type="dxa"/>
              <w:left w:w="120" w:type="dxa"/>
              <w:right w:w="120" w:type="dxa"/>
            </w:tcMar>
          </w:tcPr>
          <w:p>
            <w:r>
              <w:rPr>
                <w:rFonts w:ascii="Arial" w:hAnsi="Arial"/>
                <w:sz w:val="19"/>
              </w:rPr>
              <w:t>9,0 – 10,0</w:t>
            </w:r>
          </w:p>
        </w:tc>
        <w:tc>
          <w:tcPr>
            <w:tcW w:type="dxa" w:w="1930"/>
            <w:shd w:val="clear" w:color="auto" w:fill="F2F5F9"/>
            <w:tcMar>
              <w:top w:w="100" w:type="dxa"/>
              <w:bottom w:w="100" w:type="dxa"/>
              <w:left w:w="120" w:type="dxa"/>
              <w:right w:w="120" w:type="dxa"/>
            </w:tcMar>
          </w:tcPr>
          <w:p>
            <w:r>
              <w:rPr>
                <w:rFonts w:ascii="Arial" w:hAnsi="Arial"/>
                <w:sz w:val="19"/>
              </w:rPr>
              <w:t>Xuất sắc</w:t>
            </w:r>
          </w:p>
        </w:tc>
        <w:tc>
          <w:tcPr>
            <w:tcW w:type="dxa" w:w="1930"/>
            <w:shd w:val="clear" w:color="auto" w:fill="F2F5F9"/>
            <w:tcMar>
              <w:top w:w="100" w:type="dxa"/>
              <w:bottom w:w="100" w:type="dxa"/>
              <w:left w:w="120" w:type="dxa"/>
              <w:right w:w="120" w:type="dxa"/>
            </w:tcMar>
          </w:tcPr>
          <w:p>
            <w:r>
              <w:rPr>
                <w:rFonts w:ascii="Arial" w:hAnsi="Arial"/>
                <w:sz w:val="19"/>
              </w:rPr>
              <w:t>A+</w:t>
            </w:r>
          </w:p>
        </w:tc>
        <w:tc>
          <w:tcPr>
            <w:tcW w:type="dxa" w:w="1930"/>
            <w:shd w:val="clear" w:color="auto" w:fill="F2F5F9"/>
            <w:tcMar>
              <w:top w:w="100" w:type="dxa"/>
              <w:bottom w:w="100" w:type="dxa"/>
              <w:left w:w="120" w:type="dxa"/>
              <w:right w:w="120" w:type="dxa"/>
            </w:tcMar>
          </w:tcPr>
          <w:p>
            <w:r>
              <w:rPr>
                <w:rFonts w:ascii="Arial" w:hAnsi="Arial"/>
                <w:sz w:val="19"/>
              </w:rPr>
              <w:t>4,0</w:t>
            </w:r>
          </w:p>
        </w:tc>
        <w:tc>
          <w:tcPr>
            <w:tcW w:type="dxa" w:w="1930"/>
            <w:shd w:val="clear" w:color="auto" w:fill="F2F5F9"/>
            <w:tcMar>
              <w:top w:w="100" w:type="dxa"/>
              <w:bottom w:w="100" w:type="dxa"/>
              <w:left w:w="120" w:type="dxa"/>
              <w:right w:w="120" w:type="dxa"/>
            </w:tcMar>
          </w:tcPr>
          <w:p>
            <w:r>
              <w:rPr>
                <w:rFonts w:ascii="Arial" w:hAnsi="Arial"/>
                <w:sz w:val="19"/>
              </w:rPr>
              <w:t>Đạt chuẩn xuất sắc. Tích lũy tín chỉ.</w:t>
            </w:r>
          </w:p>
        </w:tc>
      </w:tr>
      <w:tr>
        <w:tc>
          <w:tcPr>
            <w:tcW w:type="dxa" w:w="1930"/>
            <w:tcMar>
              <w:top w:w="100" w:type="dxa"/>
              <w:bottom w:w="100" w:type="dxa"/>
              <w:left w:w="120" w:type="dxa"/>
              <w:right w:w="120" w:type="dxa"/>
            </w:tcMar>
          </w:tcPr>
          <w:p>
            <w:r>
              <w:rPr>
                <w:rFonts w:ascii="Arial" w:hAnsi="Arial"/>
                <w:sz w:val="19"/>
              </w:rPr>
              <w:t>8,5 – cận 9,0</w:t>
            </w:r>
          </w:p>
        </w:tc>
        <w:tc>
          <w:tcPr>
            <w:tcW w:type="dxa" w:w="1930"/>
            <w:tcMar>
              <w:top w:w="100" w:type="dxa"/>
              <w:bottom w:w="100" w:type="dxa"/>
              <w:left w:w="120" w:type="dxa"/>
              <w:right w:w="120" w:type="dxa"/>
            </w:tcMar>
          </w:tcPr>
          <w:p>
            <w:r>
              <w:rPr>
                <w:rFonts w:ascii="Arial" w:hAnsi="Arial"/>
                <w:sz w:val="19"/>
              </w:rPr>
              <w:t>Giỏi</w:t>
            </w:r>
          </w:p>
        </w:tc>
        <w:tc>
          <w:tcPr>
            <w:tcW w:type="dxa" w:w="1930"/>
            <w:tcMar>
              <w:top w:w="100" w:type="dxa"/>
              <w:bottom w:w="100" w:type="dxa"/>
              <w:left w:w="120" w:type="dxa"/>
              <w:right w:w="120" w:type="dxa"/>
            </w:tcMar>
          </w:tcPr>
          <w:p>
            <w:r>
              <w:rPr>
                <w:rFonts w:ascii="Arial" w:hAnsi="Arial"/>
                <w:sz w:val="19"/>
              </w:rPr>
              <w:t>A</w:t>
            </w:r>
          </w:p>
        </w:tc>
        <w:tc>
          <w:tcPr>
            <w:tcW w:type="dxa" w:w="1930"/>
            <w:tcMar>
              <w:top w:w="100" w:type="dxa"/>
              <w:bottom w:w="100" w:type="dxa"/>
              <w:left w:w="120" w:type="dxa"/>
              <w:right w:w="120" w:type="dxa"/>
            </w:tcMar>
          </w:tcPr>
          <w:p>
            <w:r>
              <w:rPr>
                <w:rFonts w:ascii="Arial" w:hAnsi="Arial"/>
                <w:sz w:val="19"/>
              </w:rPr>
              <w:t>3,5</w:t>
            </w:r>
          </w:p>
        </w:tc>
        <w:tc>
          <w:tcPr>
            <w:tcW w:type="dxa" w:w="1930"/>
            <w:tcMar>
              <w:top w:w="100" w:type="dxa"/>
              <w:bottom w:w="100" w:type="dxa"/>
              <w:left w:w="120" w:type="dxa"/>
              <w:right w:w="120" w:type="dxa"/>
            </w:tcMar>
          </w:tcPr>
          <w:p>
            <w:r>
              <w:rPr>
                <w:rFonts w:ascii="Arial" w:hAnsi="Arial"/>
                <w:sz w:val="19"/>
              </w:rPr>
              <w:t>Đạt chuẩn giỏi. Tích lũy tín chỉ.</w:t>
            </w:r>
          </w:p>
        </w:tc>
      </w:tr>
      <w:tr>
        <w:tc>
          <w:tcPr>
            <w:tcW w:type="dxa" w:w="1930"/>
            <w:shd w:val="clear" w:color="auto" w:fill="F2F5F9"/>
            <w:tcMar>
              <w:top w:w="100" w:type="dxa"/>
              <w:bottom w:w="100" w:type="dxa"/>
              <w:left w:w="120" w:type="dxa"/>
              <w:right w:w="120" w:type="dxa"/>
            </w:tcMar>
          </w:tcPr>
          <w:p>
            <w:r>
              <w:rPr>
                <w:rFonts w:ascii="Arial" w:hAnsi="Arial"/>
                <w:sz w:val="19"/>
              </w:rPr>
              <w:t>8,0 – cận 8,5</w:t>
            </w:r>
          </w:p>
        </w:tc>
        <w:tc>
          <w:tcPr>
            <w:tcW w:type="dxa" w:w="1930"/>
            <w:shd w:val="clear" w:color="auto" w:fill="F2F5F9"/>
            <w:tcMar>
              <w:top w:w="100" w:type="dxa"/>
              <w:bottom w:w="100" w:type="dxa"/>
              <w:left w:w="120" w:type="dxa"/>
              <w:right w:w="120" w:type="dxa"/>
            </w:tcMar>
          </w:tcPr>
          <w:p>
            <w:r>
              <w:rPr>
                <w:rFonts w:ascii="Arial" w:hAnsi="Arial"/>
                <w:sz w:val="19"/>
              </w:rPr>
              <w:t>Giỏi</w:t>
            </w:r>
          </w:p>
        </w:tc>
        <w:tc>
          <w:tcPr>
            <w:tcW w:type="dxa" w:w="1930"/>
            <w:shd w:val="clear" w:color="auto" w:fill="F2F5F9"/>
            <w:tcMar>
              <w:top w:w="100" w:type="dxa"/>
              <w:bottom w:w="100" w:type="dxa"/>
              <w:left w:w="120" w:type="dxa"/>
              <w:right w:w="120" w:type="dxa"/>
            </w:tcMar>
          </w:tcPr>
          <w:p>
            <w:r>
              <w:rPr>
                <w:rFonts w:ascii="Arial" w:hAnsi="Arial"/>
                <w:sz w:val="19"/>
              </w:rPr>
              <w:t>B+</w:t>
            </w:r>
          </w:p>
        </w:tc>
        <w:tc>
          <w:tcPr>
            <w:tcW w:type="dxa" w:w="1930"/>
            <w:shd w:val="clear" w:color="auto" w:fill="F2F5F9"/>
            <w:tcMar>
              <w:top w:w="100" w:type="dxa"/>
              <w:bottom w:w="100" w:type="dxa"/>
              <w:left w:w="120" w:type="dxa"/>
              <w:right w:w="120" w:type="dxa"/>
            </w:tcMar>
          </w:tcPr>
          <w:p>
            <w:r>
              <w:rPr>
                <w:rFonts w:ascii="Arial" w:hAnsi="Arial"/>
                <w:sz w:val="19"/>
              </w:rPr>
              <w:t>3,0</w:t>
            </w:r>
          </w:p>
        </w:tc>
        <w:tc>
          <w:tcPr>
            <w:tcW w:type="dxa" w:w="1930"/>
            <w:shd w:val="clear" w:color="auto" w:fill="F2F5F9"/>
            <w:tcMar>
              <w:top w:w="100" w:type="dxa"/>
              <w:bottom w:w="100" w:type="dxa"/>
              <w:left w:w="120" w:type="dxa"/>
              <w:right w:w="120" w:type="dxa"/>
            </w:tcMar>
          </w:tcPr>
          <w:p>
            <w:r>
              <w:rPr>
                <w:rFonts w:ascii="Arial" w:hAnsi="Arial"/>
                <w:sz w:val="19"/>
              </w:rPr>
              <w:t>Đạt chuẩn giỏi. Tích lũy tín chỉ.</w:t>
            </w:r>
          </w:p>
        </w:tc>
      </w:tr>
      <w:tr>
        <w:tc>
          <w:tcPr>
            <w:tcW w:type="dxa" w:w="1930"/>
            <w:tcMar>
              <w:top w:w="100" w:type="dxa"/>
              <w:bottom w:w="100" w:type="dxa"/>
              <w:left w:w="120" w:type="dxa"/>
              <w:right w:w="120" w:type="dxa"/>
            </w:tcMar>
          </w:tcPr>
          <w:p>
            <w:r>
              <w:rPr>
                <w:rFonts w:ascii="Arial" w:hAnsi="Arial"/>
                <w:sz w:val="19"/>
              </w:rPr>
              <w:t>7,0 – cận 8,0</w:t>
            </w:r>
          </w:p>
        </w:tc>
        <w:tc>
          <w:tcPr>
            <w:tcW w:type="dxa" w:w="1930"/>
            <w:tcMar>
              <w:top w:w="100" w:type="dxa"/>
              <w:bottom w:w="100" w:type="dxa"/>
              <w:left w:w="120" w:type="dxa"/>
              <w:right w:w="120" w:type="dxa"/>
            </w:tcMar>
          </w:tcPr>
          <w:p>
            <w:r>
              <w:rPr>
                <w:rFonts w:ascii="Arial" w:hAnsi="Arial"/>
                <w:sz w:val="19"/>
              </w:rPr>
              <w:t>Khá</w:t>
            </w:r>
          </w:p>
        </w:tc>
        <w:tc>
          <w:tcPr>
            <w:tcW w:type="dxa" w:w="1930"/>
            <w:tcMar>
              <w:top w:w="100" w:type="dxa"/>
              <w:bottom w:w="100" w:type="dxa"/>
              <w:left w:w="120" w:type="dxa"/>
              <w:right w:w="120" w:type="dxa"/>
            </w:tcMar>
          </w:tcPr>
          <w:p>
            <w:r>
              <w:rPr>
                <w:rFonts w:ascii="Arial" w:hAnsi="Arial"/>
                <w:sz w:val="19"/>
              </w:rPr>
              <w:t>B</w:t>
            </w:r>
          </w:p>
        </w:tc>
        <w:tc>
          <w:tcPr>
            <w:tcW w:type="dxa" w:w="1930"/>
            <w:tcMar>
              <w:top w:w="100" w:type="dxa"/>
              <w:bottom w:w="100" w:type="dxa"/>
              <w:left w:w="120" w:type="dxa"/>
              <w:right w:w="120" w:type="dxa"/>
            </w:tcMar>
          </w:tcPr>
          <w:p>
            <w:r>
              <w:rPr>
                <w:rFonts w:ascii="Arial" w:hAnsi="Arial"/>
                <w:sz w:val="19"/>
              </w:rPr>
              <w:t>2,5</w:t>
            </w:r>
          </w:p>
        </w:tc>
        <w:tc>
          <w:tcPr>
            <w:tcW w:type="dxa" w:w="1930"/>
            <w:tcMar>
              <w:top w:w="100" w:type="dxa"/>
              <w:bottom w:w="100" w:type="dxa"/>
              <w:left w:w="120" w:type="dxa"/>
              <w:right w:w="120" w:type="dxa"/>
            </w:tcMar>
          </w:tcPr>
          <w:p>
            <w:r>
              <w:rPr>
                <w:rFonts w:ascii="Arial" w:hAnsi="Arial"/>
                <w:sz w:val="19"/>
              </w:rPr>
              <w:t>Đạt chuẩn khá. Tích lũy tín chỉ.</w:t>
            </w:r>
          </w:p>
        </w:tc>
      </w:tr>
      <w:tr>
        <w:tc>
          <w:tcPr>
            <w:tcW w:type="dxa" w:w="1930"/>
            <w:shd w:val="clear" w:color="auto" w:fill="F2F5F9"/>
            <w:tcMar>
              <w:top w:w="100" w:type="dxa"/>
              <w:bottom w:w="100" w:type="dxa"/>
              <w:left w:w="120" w:type="dxa"/>
              <w:right w:w="120" w:type="dxa"/>
            </w:tcMar>
          </w:tcPr>
          <w:p>
            <w:r>
              <w:rPr>
                <w:rFonts w:ascii="Arial" w:hAnsi="Arial"/>
                <w:sz w:val="19"/>
              </w:rPr>
              <w:t>6,5 – cận 7,0</w:t>
            </w:r>
          </w:p>
        </w:tc>
        <w:tc>
          <w:tcPr>
            <w:tcW w:type="dxa" w:w="1930"/>
            <w:shd w:val="clear" w:color="auto" w:fill="F2F5F9"/>
            <w:tcMar>
              <w:top w:w="100" w:type="dxa"/>
              <w:bottom w:w="100" w:type="dxa"/>
              <w:left w:w="120" w:type="dxa"/>
              <w:right w:w="120" w:type="dxa"/>
            </w:tcMar>
          </w:tcPr>
          <w:p>
            <w:r>
              <w:rPr>
                <w:rFonts w:ascii="Arial" w:hAnsi="Arial"/>
                <w:sz w:val="19"/>
              </w:rPr>
              <w:t>Khá</w:t>
            </w:r>
          </w:p>
        </w:tc>
        <w:tc>
          <w:tcPr>
            <w:tcW w:type="dxa" w:w="1930"/>
            <w:shd w:val="clear" w:color="auto" w:fill="F2F5F9"/>
            <w:tcMar>
              <w:top w:w="100" w:type="dxa"/>
              <w:bottom w:w="100" w:type="dxa"/>
              <w:left w:w="120" w:type="dxa"/>
              <w:right w:w="120" w:type="dxa"/>
            </w:tcMar>
          </w:tcPr>
          <w:p>
            <w:r>
              <w:rPr>
                <w:rFonts w:ascii="Arial" w:hAnsi="Arial"/>
                <w:sz w:val="19"/>
              </w:rPr>
              <w:t>C+</w:t>
            </w:r>
          </w:p>
        </w:tc>
        <w:tc>
          <w:tcPr>
            <w:tcW w:type="dxa" w:w="1930"/>
            <w:shd w:val="clear" w:color="auto" w:fill="F2F5F9"/>
            <w:tcMar>
              <w:top w:w="100" w:type="dxa"/>
              <w:bottom w:w="100" w:type="dxa"/>
              <w:left w:w="120" w:type="dxa"/>
              <w:right w:w="120" w:type="dxa"/>
            </w:tcMar>
          </w:tcPr>
          <w:p>
            <w:r>
              <w:rPr>
                <w:rFonts w:ascii="Arial" w:hAnsi="Arial"/>
                <w:sz w:val="19"/>
              </w:rPr>
              <w:t>2,0</w:t>
            </w:r>
          </w:p>
        </w:tc>
        <w:tc>
          <w:tcPr>
            <w:tcW w:type="dxa" w:w="1930"/>
            <w:shd w:val="clear" w:color="auto" w:fill="F2F5F9"/>
            <w:tcMar>
              <w:top w:w="100" w:type="dxa"/>
              <w:bottom w:w="100" w:type="dxa"/>
              <w:left w:w="120" w:type="dxa"/>
              <w:right w:w="120" w:type="dxa"/>
            </w:tcMar>
          </w:tcPr>
          <w:p>
            <w:r>
              <w:rPr>
                <w:rFonts w:ascii="Arial" w:hAnsi="Arial"/>
                <w:sz w:val="19"/>
              </w:rPr>
              <w:t>Đạt chuẩn khá. Tích lũy tín chỉ.</w:t>
            </w:r>
          </w:p>
        </w:tc>
      </w:tr>
      <w:tr>
        <w:tc>
          <w:tcPr>
            <w:tcW w:type="dxa" w:w="1930"/>
            <w:tcMar>
              <w:top w:w="100" w:type="dxa"/>
              <w:bottom w:w="100" w:type="dxa"/>
              <w:left w:w="120" w:type="dxa"/>
              <w:right w:w="120" w:type="dxa"/>
            </w:tcMar>
          </w:tcPr>
          <w:p>
            <w:r>
              <w:rPr>
                <w:rFonts w:ascii="Arial" w:hAnsi="Arial"/>
                <w:sz w:val="19"/>
              </w:rPr>
              <w:t>5,5 – cận 6,5</w:t>
            </w:r>
          </w:p>
        </w:tc>
        <w:tc>
          <w:tcPr>
            <w:tcW w:type="dxa" w:w="1930"/>
            <w:tcMar>
              <w:top w:w="100" w:type="dxa"/>
              <w:bottom w:w="100" w:type="dxa"/>
              <w:left w:w="120" w:type="dxa"/>
              <w:right w:w="120" w:type="dxa"/>
            </w:tcMar>
          </w:tcPr>
          <w:p>
            <w:r>
              <w:rPr>
                <w:rFonts w:ascii="Arial" w:hAnsi="Arial"/>
                <w:sz w:val="19"/>
              </w:rPr>
              <w:t>Trung bình</w:t>
            </w:r>
          </w:p>
        </w:tc>
        <w:tc>
          <w:tcPr>
            <w:tcW w:type="dxa" w:w="1930"/>
            <w:tcMar>
              <w:top w:w="100" w:type="dxa"/>
              <w:bottom w:w="100" w:type="dxa"/>
              <w:left w:w="120" w:type="dxa"/>
              <w:right w:w="120" w:type="dxa"/>
            </w:tcMar>
          </w:tcPr>
          <w:p>
            <w:r>
              <w:rPr>
                <w:rFonts w:ascii="Arial" w:hAnsi="Arial"/>
                <w:sz w:val="19"/>
              </w:rPr>
              <w:t>C</w:t>
            </w:r>
          </w:p>
        </w:tc>
        <w:tc>
          <w:tcPr>
            <w:tcW w:type="dxa" w:w="1930"/>
            <w:tcMar>
              <w:top w:w="100" w:type="dxa"/>
              <w:bottom w:w="100" w:type="dxa"/>
              <w:left w:w="120" w:type="dxa"/>
              <w:right w:w="120" w:type="dxa"/>
            </w:tcMar>
          </w:tcPr>
          <w:p>
            <w:r>
              <w:rPr>
                <w:rFonts w:ascii="Arial" w:hAnsi="Arial"/>
                <w:sz w:val="19"/>
              </w:rPr>
              <w:t>1,5</w:t>
            </w:r>
          </w:p>
        </w:tc>
        <w:tc>
          <w:tcPr>
            <w:tcW w:type="dxa" w:w="1930"/>
            <w:tcMar>
              <w:top w:w="100" w:type="dxa"/>
              <w:bottom w:w="100" w:type="dxa"/>
              <w:left w:w="120" w:type="dxa"/>
              <w:right w:w="120" w:type="dxa"/>
            </w:tcMar>
          </w:tcPr>
          <w:p>
            <w:r>
              <w:rPr>
                <w:rFonts w:ascii="Arial" w:hAnsi="Arial"/>
                <w:sz w:val="19"/>
              </w:rPr>
              <w:t>Đạt chuẩn trung bình. Tích lũy tín chỉ.</w:t>
            </w:r>
          </w:p>
        </w:tc>
      </w:tr>
      <w:tr>
        <w:tc>
          <w:tcPr>
            <w:tcW w:type="dxa" w:w="1930"/>
            <w:shd w:val="clear" w:color="auto" w:fill="F2F5F9"/>
            <w:tcMar>
              <w:top w:w="100" w:type="dxa"/>
              <w:bottom w:w="100" w:type="dxa"/>
              <w:left w:w="120" w:type="dxa"/>
              <w:right w:w="120" w:type="dxa"/>
            </w:tcMar>
          </w:tcPr>
          <w:p>
            <w:r>
              <w:rPr>
                <w:rFonts w:ascii="Arial" w:hAnsi="Arial"/>
                <w:sz w:val="19"/>
              </w:rPr>
              <w:t>5,0 – cận 5,5</w:t>
            </w:r>
          </w:p>
        </w:tc>
        <w:tc>
          <w:tcPr>
            <w:tcW w:type="dxa" w:w="1930"/>
            <w:shd w:val="clear" w:color="auto" w:fill="F2F5F9"/>
            <w:tcMar>
              <w:top w:w="100" w:type="dxa"/>
              <w:bottom w:w="100" w:type="dxa"/>
              <w:left w:w="120" w:type="dxa"/>
              <w:right w:w="120" w:type="dxa"/>
            </w:tcMar>
          </w:tcPr>
          <w:p>
            <w:r>
              <w:rPr>
                <w:rFonts w:ascii="Arial" w:hAnsi="Arial"/>
                <w:sz w:val="19"/>
              </w:rPr>
              <w:t>Trung bình</w:t>
            </w:r>
          </w:p>
        </w:tc>
        <w:tc>
          <w:tcPr>
            <w:tcW w:type="dxa" w:w="1930"/>
            <w:shd w:val="clear" w:color="auto" w:fill="F2F5F9"/>
            <w:tcMar>
              <w:top w:w="100" w:type="dxa"/>
              <w:bottom w:w="100" w:type="dxa"/>
              <w:left w:w="120" w:type="dxa"/>
              <w:right w:w="120" w:type="dxa"/>
            </w:tcMar>
          </w:tcPr>
          <w:p>
            <w:r>
              <w:rPr>
                <w:rFonts w:ascii="Arial" w:hAnsi="Arial"/>
                <w:sz w:val="19"/>
              </w:rPr>
              <w:t>D+</w:t>
            </w:r>
          </w:p>
        </w:tc>
        <w:tc>
          <w:tcPr>
            <w:tcW w:type="dxa" w:w="1930"/>
            <w:shd w:val="clear" w:color="auto" w:fill="F2F5F9"/>
            <w:tcMar>
              <w:top w:w="100" w:type="dxa"/>
              <w:bottom w:w="100" w:type="dxa"/>
              <w:left w:w="120" w:type="dxa"/>
              <w:right w:w="120" w:type="dxa"/>
            </w:tcMar>
          </w:tcPr>
          <w:p>
            <w:r>
              <w:rPr>
                <w:rFonts w:ascii="Arial" w:hAnsi="Arial"/>
                <w:sz w:val="19"/>
              </w:rPr>
              <w:t>1,0</w:t>
            </w:r>
          </w:p>
        </w:tc>
        <w:tc>
          <w:tcPr>
            <w:tcW w:type="dxa" w:w="1930"/>
            <w:shd w:val="clear" w:color="auto" w:fill="F2F5F9"/>
            <w:tcMar>
              <w:top w:w="100" w:type="dxa"/>
              <w:bottom w:w="100" w:type="dxa"/>
              <w:left w:w="120" w:type="dxa"/>
              <w:right w:w="120" w:type="dxa"/>
            </w:tcMar>
          </w:tcPr>
          <w:p>
            <w:r>
              <w:rPr>
                <w:rFonts w:ascii="Arial" w:hAnsi="Arial"/>
                <w:sz w:val="19"/>
              </w:rPr>
              <w:t>Điểm đạt tối thiểu (5.0). Tín chỉ được tích lũy.</w:t>
            </w:r>
          </w:p>
        </w:tc>
      </w:tr>
      <w:tr>
        <w:tc>
          <w:tcPr>
            <w:tcW w:type="dxa" w:w="1930"/>
            <w:tcMar>
              <w:top w:w="100" w:type="dxa"/>
              <w:bottom w:w="100" w:type="dxa"/>
              <w:left w:w="120" w:type="dxa"/>
              <w:right w:w="120" w:type="dxa"/>
            </w:tcMar>
          </w:tcPr>
          <w:p>
            <w:r>
              <w:rPr>
                <w:rFonts w:ascii="Arial" w:hAnsi="Arial"/>
                <w:sz w:val="19"/>
              </w:rPr>
              <w:t>4,0 – cận 5,0</w:t>
            </w:r>
          </w:p>
        </w:tc>
        <w:tc>
          <w:tcPr>
            <w:tcW w:type="dxa" w:w="1930"/>
            <w:tcMar>
              <w:top w:w="100" w:type="dxa"/>
              <w:bottom w:w="100" w:type="dxa"/>
              <w:left w:w="120" w:type="dxa"/>
              <w:right w:w="120" w:type="dxa"/>
            </w:tcMar>
          </w:tcPr>
          <w:p>
            <w:r>
              <w:rPr>
                <w:rFonts w:ascii="Arial" w:hAnsi="Arial"/>
                <w:sz w:val="19"/>
              </w:rPr>
              <w:t>Yếu</w:t>
            </w:r>
          </w:p>
        </w:tc>
        <w:tc>
          <w:tcPr>
            <w:tcW w:type="dxa" w:w="1930"/>
            <w:tcMar>
              <w:top w:w="100" w:type="dxa"/>
              <w:bottom w:w="100" w:type="dxa"/>
              <w:left w:w="120" w:type="dxa"/>
              <w:right w:w="120" w:type="dxa"/>
            </w:tcMar>
          </w:tcPr>
          <w:p>
            <w:r>
              <w:rPr>
                <w:rFonts w:ascii="Arial" w:hAnsi="Arial"/>
                <w:sz w:val="19"/>
              </w:rPr>
              <w:t>D</w:t>
            </w:r>
          </w:p>
        </w:tc>
        <w:tc>
          <w:tcPr>
            <w:tcW w:type="dxa" w:w="1930"/>
            <w:tcMar>
              <w:top w:w="100" w:type="dxa"/>
              <w:bottom w:w="100" w:type="dxa"/>
              <w:left w:w="120" w:type="dxa"/>
              <w:right w:w="120" w:type="dxa"/>
            </w:tcMar>
          </w:tcPr>
          <w:p>
            <w:r>
              <w:rPr>
                <w:rFonts w:ascii="Arial" w:hAnsi="Arial"/>
                <w:sz w:val="19"/>
              </w:rPr>
              <w:t>0,5</w:t>
            </w:r>
          </w:p>
        </w:tc>
        <w:tc>
          <w:tcPr>
            <w:tcW w:type="dxa" w:w="1930"/>
            <w:tcMar>
              <w:top w:w="100" w:type="dxa"/>
              <w:bottom w:w="100" w:type="dxa"/>
              <w:left w:w="120" w:type="dxa"/>
              <w:right w:w="120" w:type="dxa"/>
            </w:tcMar>
          </w:tcPr>
          <w:p>
            <w:r>
              <w:rPr>
                <w:rFonts w:ascii="Arial" w:hAnsi="Arial"/>
                <w:sz w:val="19"/>
              </w:rPr>
              <w:t>KHÔNG ĐẠT. Không được tích lũy tín chỉ. Bắt buộc học lại nếu là môn bắt buộc.</w:t>
            </w:r>
          </w:p>
        </w:tc>
      </w:tr>
      <w:tr>
        <w:tc>
          <w:tcPr>
            <w:tcW w:type="dxa" w:w="1930"/>
            <w:shd w:val="clear" w:color="auto" w:fill="F2F5F9"/>
            <w:tcMar>
              <w:top w:w="100" w:type="dxa"/>
              <w:bottom w:w="100" w:type="dxa"/>
              <w:left w:w="120" w:type="dxa"/>
              <w:right w:w="120" w:type="dxa"/>
            </w:tcMar>
          </w:tcPr>
          <w:p>
            <w:r>
              <w:rPr>
                <w:rFonts w:ascii="Arial" w:hAnsi="Arial"/>
                <w:sz w:val="19"/>
              </w:rPr>
              <w:t>Dưới 4,0</w:t>
            </w:r>
          </w:p>
        </w:tc>
        <w:tc>
          <w:tcPr>
            <w:tcW w:type="dxa" w:w="1930"/>
            <w:shd w:val="clear" w:color="auto" w:fill="F2F5F9"/>
            <w:tcMar>
              <w:top w:w="100" w:type="dxa"/>
              <w:bottom w:w="100" w:type="dxa"/>
              <w:left w:w="120" w:type="dxa"/>
              <w:right w:w="120" w:type="dxa"/>
            </w:tcMar>
          </w:tcPr>
          <w:p>
            <w:r>
              <w:rPr>
                <w:rFonts w:ascii="Arial" w:hAnsi="Arial"/>
                <w:sz w:val="19"/>
              </w:rPr>
              <w:t>Kém</w:t>
            </w:r>
          </w:p>
        </w:tc>
        <w:tc>
          <w:tcPr>
            <w:tcW w:type="dxa" w:w="1930"/>
            <w:shd w:val="clear" w:color="auto" w:fill="F2F5F9"/>
            <w:tcMar>
              <w:top w:w="100" w:type="dxa"/>
              <w:bottom w:w="100" w:type="dxa"/>
              <w:left w:w="120" w:type="dxa"/>
              <w:right w:w="120" w:type="dxa"/>
            </w:tcMar>
          </w:tcPr>
          <w:p>
            <w:r>
              <w:rPr>
                <w:rFonts w:ascii="Arial" w:hAnsi="Arial"/>
                <w:sz w:val="19"/>
              </w:rPr>
              <w:t>F</w:t>
            </w:r>
          </w:p>
        </w:tc>
        <w:tc>
          <w:tcPr>
            <w:tcW w:type="dxa" w:w="1930"/>
            <w:shd w:val="clear" w:color="auto" w:fill="F2F5F9"/>
            <w:tcMar>
              <w:top w:w="100" w:type="dxa"/>
              <w:bottom w:w="100" w:type="dxa"/>
              <w:left w:w="120" w:type="dxa"/>
              <w:right w:w="120" w:type="dxa"/>
            </w:tcMar>
          </w:tcPr>
          <w:p>
            <w:r>
              <w:rPr>
                <w:rFonts w:ascii="Arial" w:hAnsi="Arial"/>
                <w:sz w:val="19"/>
              </w:rPr>
              <w:t>0,0</w:t>
            </w:r>
          </w:p>
        </w:tc>
        <w:tc>
          <w:tcPr>
            <w:tcW w:type="dxa" w:w="1930"/>
            <w:shd w:val="clear" w:color="auto" w:fill="F2F5F9"/>
            <w:tcMar>
              <w:top w:w="100" w:type="dxa"/>
              <w:bottom w:w="100" w:type="dxa"/>
              <w:left w:w="120" w:type="dxa"/>
              <w:right w:w="120" w:type="dxa"/>
            </w:tcMar>
          </w:tcPr>
          <w:p>
            <w:r>
              <w:rPr>
                <w:rFonts w:ascii="Arial" w:hAnsi="Arial"/>
                <w:sz w:val="19"/>
              </w:rPr>
              <w:t>KHÔNG ĐẠT. Kéo tụt GPA nặng nề. Phải học lại hoặc học môn thay thế.</w:t>
            </w:r>
          </w:p>
        </w:tc>
      </w:tr>
    </w:tbl>
    <w:p/>
    <w:p>
      <w:pPr>
        <w:spacing w:before="120" w:after="40"/>
      </w:pPr>
      <w:r>
        <w:rPr>
          <w:rFonts w:ascii="Arial" w:hAnsi="Arial"/>
          <w:b/>
          <w:color w:val="1E4678"/>
          <w:sz w:val="22"/>
        </w:rPr>
        <w:t>ĐÁNH GIÁ KẾT QUẢ HỌC TẬP VÀ CẤP BẰNG TỐT NGHIỆP</w:t>
      </w:r>
    </w:p>
    <w:p>
      <w:pPr>
        <w:spacing w:before="120" w:after="40"/>
      </w:pPr>
      <w:r>
        <w:rPr>
          <w:rFonts w:ascii="Arial" w:hAnsi="Arial"/>
          <w:b/>
          <w:color w:val="1E4678"/>
          <w:sz w:val="22"/>
        </w:rPr>
        <w:t>Điều 9.  Đánh giá học phần</w:t>
      </w:r>
    </w:p>
    <w:p>
      <w:pPr>
        <w:spacing w:after="80" w:line="276" w:lineRule="auto"/>
      </w:pPr>
      <w:r>
        <w:rPr>
          <w:rFonts w:ascii="Arial" w:hAnsi="Arial"/>
          <w:color w:val="282828"/>
          <w:sz w:val="20"/>
        </w:rPr>
        <w:t>1. Đối với mỗi học phần (ngoại trừ khóa luận tốt nghiệp/thực tập tốt nghiệp/đồ án tốt nghiệp/tốt nghiệp/dự án tốt nghiệp), sinh viên được đánh giá tối thiểu bằng tổng của hai điểm thành phần bao gồm: điểm quá trình và điểm thi kết thúc học phần (điểm thi cuối học kỳ). Các điểm thành phần được đánh giá theo thang điểm 10. Phương pháp đánh giá, hình thức đánh giá và trọng số của mỗi điểm thành phần được quy định trong đề cương chi tiết của mỗi học phần, được Khoa thông qua và được Hiệu trưởng phê duyệt. Điểm quá trình và điểm thi kết thúc học phần được quy định như sau:</w:t>
      </w:r>
    </w:p>
    <w:p>
      <w:pPr>
        <w:spacing w:after="80" w:line="276" w:lineRule="auto"/>
      </w:pPr>
      <w:r>
        <w:rPr>
          <w:rFonts w:ascii="Arial" w:hAnsi="Arial"/>
          <w:color w:val="282828"/>
          <w:sz w:val="20"/>
        </w:rPr>
        <w:t>a) Điểm quá trình chiếm tỉ trọng từ 50% đến 60% bao gồm tối thiểu ba trong số các hình thức sau đây: điểm kiểm tra thường xuyên trong quá trình học tập; điểm đánh giá tham gia thảo luận; điểm tổng hợp đánh giá các bài thực hành/thực tập; điểm bài tập lớn; điểm chuyên cần; điểm kiểm tra giữa học kỳ; điểm báo cáo seminar.</w:t>
      </w:r>
    </w:p>
    <w:p>
      <w:pPr>
        <w:spacing w:after="80" w:line="276" w:lineRule="auto"/>
      </w:pPr>
      <w:r>
        <w:rPr>
          <w:rFonts w:ascii="Arial" w:hAnsi="Arial"/>
          <w:color w:val="282828"/>
          <w:sz w:val="20"/>
        </w:rPr>
        <w:t>b) Điểm thi kết thúc học phần (điểm thi cuối học kỳ) chiếm tỷ trọng còn lại (không dưới 40%). Hình thức thi kết thúc học phần có thể là: thi viết (trắc nghiệm hoặc tự luận); thi vấn đáp; báo cáo chuyên đề/tiểu luận/đồ án; được tổ chức trực tiếp tại Trường theo quy định. Trong trường hợp bất khả kháng do thiên tai hoặc dịch bệnh, đánh giá cuối học kỳ theo hình thức thi viết có thể được tổ chức bằng phương thức trực tuyến; Hiệu trưởng quyết định lựa chọn đánh giá cuối học kỳ bằng phương thức trực tuyến thay cho phương thức trực tiếp theo quy định, bảo đảm trung thực, công bằng và khách quan như khi đánh giá trực tiếp.</w:t>
      </w:r>
    </w:p>
    <w:p>
      <w:pPr>
        <w:spacing w:after="80" w:line="276" w:lineRule="auto"/>
      </w:pPr>
      <w:r>
        <w:rPr>
          <w:rFonts w:ascii="Arial" w:hAnsi="Arial"/>
          <w:color w:val="282828"/>
          <w:sz w:val="20"/>
        </w:rPr>
        <w:t>2. Đối với loại học phần thực hành: sinh viên phải tham dự đầy đủ các bài thực hành. Điểm tổng hợp đánh giá học phần là các điểm thành phần bao gồm: điểm các bài thực hành trong học kỳ, điểm chuyên cần, điểm bài thi thực hành cuối kỳ.</w:t>
      </w:r>
    </w:p>
    <w:p>
      <w:pPr>
        <w:spacing w:after="80" w:line="276" w:lineRule="auto"/>
      </w:pPr>
      <w:r>
        <w:rPr>
          <w:rFonts w:ascii="Arial" w:hAnsi="Arial"/>
          <w:color w:val="282828"/>
          <w:sz w:val="20"/>
        </w:rPr>
        <w:t>3. Việc tổ chức thi, kiểm tra, thời gian thi, việc làm đề thi, coi thi, chấm thi, phúc tra, bảo quản bài thi sẽ được công bố tại quy định về công tác khảo thí của Trường.</w:t>
      </w:r>
    </w:p>
    <w:p>
      <w:pPr>
        <w:spacing w:before="120" w:after="40"/>
      </w:pPr>
      <w:r>
        <w:rPr>
          <w:rFonts w:ascii="Arial" w:hAnsi="Arial"/>
          <w:b/>
          <w:color w:val="1E4678"/>
          <w:sz w:val="22"/>
        </w:rPr>
        <w:t>Điều 10.  Đánh giá đồ án tốt nghiệp, khóa luận tốt nghiệp/thực tập tốt</w:t>
      </w:r>
    </w:p>
    <w:p>
      <w:pPr>
        <w:spacing w:after="80" w:line="276" w:lineRule="auto"/>
      </w:pPr>
      <w:r>
        <w:rPr>
          <w:rFonts w:ascii="Arial" w:hAnsi="Arial"/>
          <w:color w:val="282828"/>
          <w:sz w:val="20"/>
        </w:rPr>
        <w:t>nghiệp/dự án tốt nghiệp</w:t>
      </w:r>
    </w:p>
    <w:p>
      <w:pPr>
        <w:spacing w:after="80" w:line="276" w:lineRule="auto"/>
      </w:pPr>
      <w:r>
        <w:rPr>
          <w:rFonts w:ascii="Arial" w:hAnsi="Arial"/>
          <w:color w:val="282828"/>
          <w:sz w:val="20"/>
        </w:rPr>
        <w:t>1. Xét làm khóa luận tốt nghiệp, đồ án tốt nghiệp Vào đầu học kỳ cuối khoá học, căn cứ vào nguyện vọng của sinh viên và quy định của Khoa phụ trách đào tạo, Hội đồng Khoa xét và lập danh sách sinh viên được làm đồ án tốt nghiệp hoặc khóa luận tốt nghiệp/thực tập tốt nghiệp/dự án tốt nghiệp (sau đây gọi chung là khóa luận tốt nghiệp) như sau:</w:t>
      </w:r>
    </w:p>
    <w:p>
      <w:pPr>
        <w:spacing w:after="80" w:line="276" w:lineRule="auto"/>
      </w:pPr>
      <w:r>
        <w:rPr>
          <w:rFonts w:ascii="Arial" w:hAnsi="Arial"/>
          <w:color w:val="282828"/>
          <w:sz w:val="20"/>
        </w:rPr>
        <w:t>a) Làm khoá luận tốt nghiệp có khối lượng 10 tín chỉ.</w:t>
      </w:r>
    </w:p>
    <w:p>
      <w:pPr>
        <w:spacing w:after="80" w:line="276" w:lineRule="auto"/>
      </w:pPr>
      <w:r>
        <w:rPr>
          <w:rFonts w:ascii="Arial" w:hAnsi="Arial"/>
          <w:color w:val="282828"/>
          <w:sz w:val="20"/>
        </w:rPr>
        <w:t>b) Làm đồ án tốt nghiệp và học một số học phần chuyên ngành định hướng nghề nghiệp có khối lượng tổng cộng 10 tín chỉ.</w:t>
      </w:r>
    </w:p>
    <w:p>
      <w:pPr>
        <w:spacing w:after="80" w:line="276" w:lineRule="auto"/>
      </w:pPr>
      <w:r>
        <w:rPr>
          <w:rFonts w:ascii="Arial" w:hAnsi="Arial"/>
          <w:color w:val="282828"/>
          <w:sz w:val="20"/>
        </w:rPr>
        <w:t>c) Chọn học một số học phần chuyên ngành định hướng nghề nghiệp có khối lượng tổng cộng 10 tín chỉ theo quy định của chương trình đào tạo.</w:t>
      </w:r>
    </w:p>
    <w:p>
      <w:pPr>
        <w:spacing w:after="80" w:line="276" w:lineRule="auto"/>
      </w:pPr>
      <w:r>
        <w:rPr>
          <w:rFonts w:ascii="Arial" w:hAnsi="Arial"/>
          <w:color w:val="282828"/>
          <w:sz w:val="20"/>
        </w:rPr>
        <w:t>d) Điều kiện làm khóa luận hoặc đồ án tốt nghiệp dựa vào các tiêu chí như sau:</w:t>
      </w:r>
    </w:p>
    <w:p>
      <w:pPr>
        <w:spacing w:after="80" w:line="276" w:lineRule="auto"/>
      </w:pPr>
      <w:r>
        <w:rPr>
          <w:rFonts w:ascii="Arial" w:hAnsi="Arial"/>
          <w:color w:val="282828"/>
          <w:sz w:val="20"/>
        </w:rPr>
        <w:t>Điểm trung bình tích lũy của khóa học.</w:t>
      </w:r>
    </w:p>
    <w:p>
      <w:pPr>
        <w:spacing w:after="80" w:line="276" w:lineRule="auto"/>
      </w:pPr>
      <w:r>
        <w:rPr>
          <w:rFonts w:ascii="Arial" w:hAnsi="Arial"/>
          <w:color w:val="282828"/>
          <w:sz w:val="20"/>
        </w:rPr>
        <w:t>Tiêu chí khác theo quy định của Khoa phụ trách đào tạo.</w:t>
      </w:r>
    </w:p>
    <w:p>
      <w:pPr>
        <w:spacing w:after="80" w:line="276" w:lineRule="auto"/>
      </w:pPr>
      <w:r>
        <w:rPr>
          <w:rFonts w:ascii="Arial" w:hAnsi="Arial"/>
          <w:color w:val="282828"/>
          <w:sz w:val="20"/>
        </w:rPr>
        <w:t>2. Sinh viên thực hiện khóa luận tốt nghiệp và đồ án tốt nghiệp trong thời gian là một học kỳ tại học kỳ cuối cùng của khóa học. Tuỳ đặc điểm của ngành đào tạo, sinh viên làm khóa luận tốt nghiệp có thể được giao đề tài sớm hơn.</w:t>
      </w:r>
    </w:p>
    <w:p>
      <w:pPr>
        <w:spacing w:after="80" w:line="276" w:lineRule="auto"/>
      </w:pPr>
      <w:r>
        <w:rPr>
          <w:rFonts w:ascii="Arial" w:hAnsi="Arial"/>
          <w:color w:val="282828"/>
          <w:sz w:val="20"/>
        </w:rPr>
        <w:t>3. Đánh giá khóa luận tốt nghiệp, đồ án tốt nghiệp a) Đánh giá đồ án tốt nghiệp, khóa luận tốt nghiệp được thực hiện bởi Hội đồng đánh giá đồ án tốt nghiệp, khóa luận tốt nghiệp (sau đây gọi tắt là Hội đồng đánh giá).</w:t>
      </w:r>
    </w:p>
    <w:p>
      <w:pPr>
        <w:spacing w:after="80" w:line="276" w:lineRule="auto"/>
      </w:pPr>
      <w:r>
        <w:rPr>
          <w:rFonts w:ascii="Arial" w:hAnsi="Arial"/>
          <w:color w:val="282828"/>
          <w:sz w:val="20"/>
        </w:rPr>
        <w:t>b) Hội đồng đánh giá do Hiệu trưởng ký quyết định thành lập trên cơ sở đề nghị của Khoa phụ trách đào tạo. Hội đồng đánh giá khóa luận tốt nghiệp gồm 05 thành viên, Hội đồng đánh giá đồ án tốt nghiệp gồm 03 thành viên gồm:</w:t>
      </w:r>
    </w:p>
    <w:p>
      <w:pPr>
        <w:spacing w:after="80" w:line="276" w:lineRule="auto"/>
      </w:pPr>
      <w:r>
        <w:rPr>
          <w:rFonts w:ascii="Arial" w:hAnsi="Arial"/>
          <w:color w:val="282828"/>
          <w:sz w:val="20"/>
        </w:rPr>
        <w:t>01 chủ tịch, 01 thư ký và các ủy viên. Thành viên của Hội đồng đánh giá là giảng viên của trường hoặc có thể mời những người có chuyên môn phù hợp ở ngoài trường.</w:t>
      </w:r>
    </w:p>
    <w:p>
      <w:pPr>
        <w:spacing w:after="80" w:line="276" w:lineRule="auto"/>
      </w:pPr>
      <w:r>
        <w:rPr>
          <w:rFonts w:ascii="Arial" w:hAnsi="Arial"/>
          <w:color w:val="282828"/>
          <w:sz w:val="20"/>
        </w:rPr>
        <w:t>c) Điểm đánh giá khóa luận tốt nghiệp, đồ án tốt nghiệp được đánh giá theo thang điểm 10. Điểm tổng kết đánh giá khóa luận tốt nghiệp, đồ án tốt nghiệp được làm tròn tới một chữ số thập phân, là điểm trung bình cộng không tính hệ số của tất cả thành viên bao gồm: thành viên Hội đồng, người hướng dẫn và người phản biện. Nếu các Khoa có quy định khác về điểm tổng kết đánh giá khóa luận tốt nghiệp, đồ án tốt nghiệp so với cách tính này thì quy định về cách tính điểm này của Khoa phải được đề xuất bằng văn bản và được Hiệu trưởng phê duyệt.</w:t>
      </w:r>
    </w:p>
    <w:p>
      <w:pPr>
        <w:spacing w:after="80" w:line="276" w:lineRule="auto"/>
      </w:pPr>
      <w:r>
        <w:rPr>
          <w:rFonts w:ascii="Arial" w:hAnsi="Arial"/>
          <w:color w:val="282828"/>
          <w:sz w:val="20"/>
        </w:rPr>
        <w:t>d) Kết quả đánh giá khóa luận tốt nghiệp, đồ án tốt nghiệp phải được công bố ngay sau buổi bảo vệ, được tính vào điểm trung bình và trung bình tích lũy theo tổng số tín chỉ của khóa luận tốt nghiệp/đồ án tốt nghiệp.</w:t>
      </w:r>
    </w:p>
    <w:p>
      <w:pPr>
        <w:spacing w:after="80" w:line="276" w:lineRule="auto"/>
      </w:pPr>
      <w:r>
        <w:rPr>
          <w:rFonts w:ascii="Arial" w:hAnsi="Arial"/>
          <w:color w:val="282828"/>
          <w:sz w:val="20"/>
        </w:rPr>
        <w:t>a) Tổ chức bảo vệ và đánh giá khóa luận tốt nghiệp, đồ án tốt nghiệp được thực hiện trực tuyến trong trường hợp bất khả kháng do thiên tai hoặc dịch bệnh, Hiệu trưởng quyết định cho phép tổ chức bảo vệ và đánh giá đồ án tốt nghiệp, khóa luận tốt nghiệp theo phương thức trực tuyến thay cho phương thức trực tiếp. Hướng dẫn tổ chức bảo vệ và đánh giá đồ án tốt nghiệp, khóa luận tốt nghiệp theo phục lục 1 đính kèm.</w:t>
      </w:r>
    </w:p>
    <w:p>
      <w:pPr>
        <w:spacing w:before="120" w:after="40"/>
      </w:pPr>
      <w:r>
        <w:rPr>
          <w:rFonts w:ascii="Arial" w:hAnsi="Arial"/>
          <w:b/>
          <w:color w:val="1E4678"/>
          <w:sz w:val="22"/>
        </w:rPr>
        <w:t>Điều 11.  Tính điểm học phần</w:t>
      </w:r>
    </w:p>
    <w:p>
      <w:pPr>
        <w:spacing w:after="80" w:line="276" w:lineRule="auto"/>
      </w:pPr>
      <w:r>
        <w:rPr>
          <w:rFonts w:ascii="Arial" w:hAnsi="Arial"/>
          <w:color w:val="282828"/>
          <w:sz w:val="20"/>
        </w:rPr>
        <w:t>1. Điểm học phần theo thang điểm 10, là điểm cuối cùng để đánh giá kết quả của một học phần, được tính từ tổng các điểm thành phần nhân với trọng số tương ứng, được làm tròn tới một chữ số thập phân và được quy đổi theo thang điểm 4 và thang điểm chữ như sau:</w:t>
      </w:r>
    </w:p>
    <w:p>
      <w:pPr>
        <w:spacing w:after="80" w:line="276" w:lineRule="auto"/>
      </w:pPr>
      <w:r>
        <w:rPr>
          <w:rFonts w:ascii="Arial" w:hAnsi="Arial"/>
          <w:color w:val="282828"/>
          <w:sz w:val="20"/>
        </w:rPr>
        <w:t>Thang điểm 10 Điểm 4 Điểm chữ 9,0 đến 10,0 4,0 8,0 đến cận 9,0 3,5 7,0 đến cận 8,0 3,0 6,0 đến cận 7,0 2,5 5,0 đến cận 6,0 2,0 4,0 đến cận 5,0 1,5 3,0 đến cận 4,0 1,0 &lt;3,0 0,0</w:t>
      </w:r>
    </w:p>
    <w:p>
      <w:pPr>
        <w:spacing w:after="80" w:line="276" w:lineRule="auto"/>
      </w:pPr>
      <w:r>
        <w:rPr>
          <w:rFonts w:ascii="Arial" w:hAnsi="Arial"/>
          <w:color w:val="282828"/>
          <w:sz w:val="20"/>
        </w:rPr>
        <w:t>2. Thang điểm 4 và thang điểm chữ chỉ mang tính tham khảo, chuyển đổi khi cần thiết, không dùng để ghi và phân loại đánh giá.</w:t>
      </w:r>
    </w:p>
    <w:p>
      <w:pPr>
        <w:spacing w:after="80" w:line="276" w:lineRule="auto"/>
      </w:pPr>
      <w:r>
        <w:rPr>
          <w:rFonts w:ascii="Arial" w:hAnsi="Arial"/>
          <w:color w:val="282828"/>
          <w:sz w:val="20"/>
        </w:rPr>
        <w:t>3. Đối với các học phần đã hoàn tất đăng ký, sinh viên có trách nhiệm thực hiện đầy đủ và nghiêm túc mọi yêu cầu của giảng viên về việc lên lớp, làm bài tập, thực hành, thí nghiệm, tham gia thảo luận, tham dự kiểm tra giữa học kỳ và thi kết thúc học phần. Nếu không thực hiện phần việc nào, sinh viên sẽ nhận điểm không (0) cho điểm thành phần tương ứng.</w:t>
      </w:r>
    </w:p>
    <w:p>
      <w:pPr>
        <w:spacing w:after="80" w:line="276" w:lineRule="auto"/>
      </w:pPr>
      <w:r>
        <w:rPr>
          <w:rFonts w:ascii="Arial" w:hAnsi="Arial"/>
          <w:color w:val="282828"/>
          <w:sz w:val="20"/>
        </w:rPr>
        <w:t>4. Học phần có điểm từ 5,0 (năm) trở lên được xem là học phần đạt, số tín chỉ của học phần này được tính là số tín chỉ tích lũy.</w:t>
      </w:r>
    </w:p>
    <w:p>
      <w:pPr>
        <w:spacing w:after="80" w:line="276" w:lineRule="auto"/>
      </w:pPr>
      <w:r>
        <w:rPr>
          <w:rFonts w:ascii="Arial" w:hAnsi="Arial"/>
          <w:color w:val="282828"/>
          <w:sz w:val="20"/>
        </w:rPr>
        <w:t>5. Sinh viên vắng mặt trong buổi thi, đánh giá không có lý do chính đáng phải nhận điểm 0 (không) đối với điểm thành phần/hình thức kiểm tra tương ứng. Trường hợp sinh viên vắng mặt trong buổi thi cuối học kỳ nhưng có nộp đơn xin phép vắng thi và có lý do chính đáng sẽ được hoãn thi theo quy định tại Điều 12 của quy chế này.</w:t>
      </w:r>
    </w:p>
    <w:p>
      <w:pPr>
        <w:spacing w:before="120" w:after="40"/>
      </w:pPr>
      <w:r>
        <w:rPr>
          <w:rFonts w:ascii="Arial" w:hAnsi="Arial"/>
          <w:b/>
          <w:color w:val="1E4678"/>
          <w:sz w:val="22"/>
        </w:rPr>
        <w:t>Điều 12.  Hoãn thi</w:t>
      </w:r>
    </w:p>
    <w:p>
      <w:pPr>
        <w:spacing w:after="80" w:line="276" w:lineRule="auto"/>
      </w:pPr>
      <w:r>
        <w:rPr>
          <w:rFonts w:ascii="Arial" w:hAnsi="Arial"/>
          <w:color w:val="282828"/>
          <w:sz w:val="20"/>
        </w:rPr>
        <w:t>1. Những trường hợp đột xuất và có lý do chính đáng (ví dụ như: ốm đau, tai nạn, hoàn cảnh khó khăn đột xuất) không thể dự thi cuối học kỳ, sinh viên sẽ được xem xét giải quyết cho hoãn thi.</w:t>
      </w:r>
    </w:p>
    <w:p>
      <w:pPr>
        <w:spacing w:after="80" w:line="276" w:lineRule="auto"/>
      </w:pPr>
      <w:r>
        <w:rPr>
          <w:rFonts w:ascii="Arial" w:hAnsi="Arial"/>
          <w:color w:val="282828"/>
          <w:sz w:val="20"/>
        </w:rPr>
        <w:t>2. Điểm của học phần hoãn thi được ký hiệu I (điểm I). Để được nhận điểm I, sinh viên phải hoàn tất học phí học kỳ và nộp đơn trình bày rõ lý do xin hoãn thi học phần cùng các giấy tờ xác nhận cần thiết cho Phòng đào tạo trong vòng 05 ngày làm việc kể từ ngày thi để được xem xét.</w:t>
      </w:r>
    </w:p>
    <w:p>
      <w:pPr>
        <w:spacing w:after="80" w:line="276" w:lineRule="auto"/>
      </w:pPr>
      <w:r>
        <w:rPr>
          <w:rFonts w:ascii="Arial" w:hAnsi="Arial"/>
          <w:color w:val="282828"/>
          <w:sz w:val="20"/>
        </w:rPr>
        <w:t>3. Sinh viên sẽ không bị điểm không (0) đối với học phần được xét nhận điểm I ở học kỳ đó. Sinh viên phải nộp đơn đăng ký học lại học phần hoãn thi trong vòng một năm học tiếp theo. Sinh viên không phải đóng học phí học phần được điểm I khi được xét đăng ký học lại học phần này.</w:t>
      </w:r>
    </w:p>
    <w:p>
      <w:pPr>
        <w:spacing w:after="80" w:line="276" w:lineRule="auto"/>
      </w:pPr>
      <w:r>
        <w:rPr>
          <w:rFonts w:ascii="Arial" w:hAnsi="Arial"/>
          <w:color w:val="282828"/>
          <w:sz w:val="20"/>
        </w:rPr>
        <w:t>4. Đối với kiểm tra lấy điểm quá trình, trong trường hợp sinh viên vắng kiểm tra có lý do chính đáng thì giảng viên phụ trách giảng dạy sẽ chủ động giải quyết cho sinh viên được kiểm tra lại vào thời điểm khác trong khoảng thời gian trước ngày thi cuối học kỳ của học phần đó. Điểm thành phần của học phần hoãn thi sẽ không được bảo lưu.</w:t>
      </w:r>
    </w:p>
    <w:p>
      <w:pPr>
        <w:spacing w:before="120" w:after="40"/>
      </w:pPr>
      <w:r>
        <w:rPr>
          <w:rFonts w:ascii="Arial" w:hAnsi="Arial"/>
          <w:b/>
          <w:color w:val="1E4678"/>
          <w:sz w:val="22"/>
        </w:rPr>
        <w:t>Điều 13.  Công nhận kết quả học tập và chuyển đổi tín chỉ (miễn học)</w:t>
      </w:r>
    </w:p>
    <w:p>
      <w:pPr>
        <w:spacing w:after="80" w:line="276" w:lineRule="auto"/>
      </w:pPr>
      <w:r>
        <w:rPr>
          <w:rFonts w:ascii="Arial" w:hAnsi="Arial"/>
          <w:color w:val="282828"/>
          <w:sz w:val="20"/>
        </w:rPr>
        <w:t>1. Sinh viên đã đạt hoặc có điểm đạt một học phần ở một trường khác nếu muốn xin miễn học đối với học phần đó thì phải làm đơn kèm theo xác nhận về nội dung đề cương, số tiết học, số tín chỉ và điểm học phần để gửi cho Trường vào đầu học kỳ.</w:t>
      </w:r>
    </w:p>
    <w:p>
      <w:pPr>
        <w:spacing w:after="80" w:line="276" w:lineRule="auto"/>
      </w:pPr>
      <w:r>
        <w:rPr>
          <w:rFonts w:ascii="Arial" w:hAnsi="Arial"/>
          <w:color w:val="282828"/>
          <w:sz w:val="20"/>
        </w:rPr>
        <w:t>2. Trường sẽ xem xét công nhận, chuyển đổi tín chỉ trên cơ sở đối sánh chuẩn đầu ra, nội dung và khối lượng học tập, cách thức đánh giá học phần và các điều kiện bảo đảm chất lượng. Nếu được chấp thuận thì học phần được miễn sẽ có điểm mà sinh viên đã đạt tại Trường khác và kèm theo chữ bảo lưu (BL). Trường hợp điểm cụ thể không xác định, học phần được miễn sẽ có điểm được ký hiệu M (điểm M).</w:t>
      </w:r>
    </w:p>
    <w:p>
      <w:pPr>
        <w:spacing w:after="80" w:line="276" w:lineRule="auto"/>
      </w:pPr>
      <w:r>
        <w:rPr>
          <w:rFonts w:ascii="Arial" w:hAnsi="Arial"/>
          <w:color w:val="282828"/>
          <w:sz w:val="20"/>
        </w:rPr>
        <w:t>3. Điểm bảo lưu (BL) và điểm miễn (M) không tính vào điểm trung bình học kỳ và điểm trung bình tích lũy.</w:t>
      </w:r>
    </w:p>
    <w:p>
      <w:pPr>
        <w:spacing w:after="80" w:line="276" w:lineRule="auto"/>
      </w:pPr>
      <w:r>
        <w:rPr>
          <w:rFonts w:ascii="Arial" w:hAnsi="Arial"/>
          <w:color w:val="282828"/>
          <w:sz w:val="20"/>
        </w:rPr>
        <w:t>4. Khối lượng tối đa được công nhận, chuyển đổi không vượt quá 25% khối lượng học tập tối thiểu của chương trình đào tạo.</w:t>
      </w:r>
    </w:p>
    <w:p>
      <w:pPr>
        <w:spacing w:before="120" w:after="40"/>
      </w:pPr>
      <w:r>
        <w:rPr>
          <w:rFonts w:ascii="Arial" w:hAnsi="Arial"/>
          <w:b/>
          <w:color w:val="1E4678"/>
          <w:sz w:val="22"/>
        </w:rPr>
        <w:t>Điều 14.  Học lại và học cải thiện điểm</w:t>
      </w:r>
    </w:p>
    <w:p>
      <w:pPr>
        <w:spacing w:after="80" w:line="276" w:lineRule="auto"/>
      </w:pPr>
      <w:r>
        <w:rPr>
          <w:rFonts w:ascii="Arial" w:hAnsi="Arial"/>
          <w:color w:val="282828"/>
          <w:sz w:val="20"/>
        </w:rPr>
        <w:t>1. Học lại a) Sinh viên có điểm học phần không đạt phải đăng ký học lại, điểm lần học cuối là điểm chính thức của học phần b) Đối với các học phần bắt buộc có điểm học phần dưới năm (5,0) sinh viên phải đăng ký học lại.</w:t>
      </w:r>
    </w:p>
    <w:p>
      <w:pPr>
        <w:spacing w:after="80" w:line="276" w:lineRule="auto"/>
      </w:pPr>
      <w:r>
        <w:rPr>
          <w:rFonts w:ascii="Arial" w:hAnsi="Arial"/>
          <w:color w:val="282828"/>
          <w:sz w:val="20"/>
        </w:rPr>
        <w:t>c) Đối với các học phần tự chọn có điểm học phần dưới năm (5,0) sinh viên được phép đăng ký học lại học phần đó hoặc chọn học phần khác thay thế trong số các học phần tự chọn được quy định cho mỗi chương trình đào tạo.</w:t>
      </w:r>
    </w:p>
    <w:p>
      <w:pPr>
        <w:spacing w:after="80" w:line="276" w:lineRule="auto"/>
      </w:pPr>
      <w:r>
        <w:rPr>
          <w:rFonts w:ascii="Arial" w:hAnsi="Arial"/>
          <w:color w:val="282828"/>
          <w:sz w:val="20"/>
        </w:rPr>
        <w:t>2. Học cải thiện điểm a) Đối với các học phần đã đạt nhưng muốn cải thiện điểm thì sinh viên phải đăng ký học lại và nộp học phí theo quy định. Điểm lần học cuối là điểm chính thức của học phần.</w:t>
      </w:r>
    </w:p>
    <w:p>
      <w:pPr>
        <w:spacing w:after="80" w:line="276" w:lineRule="auto"/>
      </w:pPr>
      <w:r>
        <w:rPr>
          <w:rFonts w:ascii="Arial" w:hAnsi="Arial"/>
          <w:color w:val="282828"/>
          <w:sz w:val="20"/>
        </w:rPr>
        <w:t>b) Tùy vào điều kiện giảng dạy thực tế đối các các học phần, Trường sẽ quy định cụ thể các học phần không được học cải thiện (nếu có).</w:t>
      </w:r>
    </w:p>
    <w:p>
      <w:pPr>
        <w:spacing w:after="80" w:line="276" w:lineRule="auto"/>
      </w:pPr>
      <w:r>
        <w:rPr>
          <w:rFonts w:ascii="Arial" w:hAnsi="Arial"/>
          <w:color w:val="282828"/>
          <w:sz w:val="20"/>
        </w:rPr>
        <w:t>c) Điểm cải thiện không được sử dụng vào việc tính điểm trung bình học kỳ để xét học bổng khuyến khích học tập nhưng được tính vào điểm trung bình và điểm trung bình tích lũy.</w:t>
      </w:r>
    </w:p>
    <w:p>
      <w:pPr>
        <w:spacing w:before="120" w:after="40"/>
      </w:pPr>
      <w:r>
        <w:rPr>
          <w:rFonts w:ascii="Arial" w:hAnsi="Arial"/>
          <w:b/>
          <w:color w:val="1E4678"/>
          <w:sz w:val="22"/>
        </w:rPr>
        <w:t>Điều 15.  Đánh giá kết quả học tập theo học kỳ, năm học, khóa học</w:t>
      </w:r>
    </w:p>
    <w:p>
      <w:pPr>
        <w:spacing w:after="80" w:line="276" w:lineRule="auto"/>
      </w:pPr>
      <w:r>
        <w:rPr>
          <w:rFonts w:ascii="Arial" w:hAnsi="Arial"/>
          <w:color w:val="282828"/>
          <w:sz w:val="20"/>
        </w:rPr>
        <w:t>1. Kết quả học tập của sinh viên được đánh giá sau từng học kỳ, sau từng năm học, hoặc khóa học của các học phần nằm trong yêu cầu của chương trình đào tạo mà sinh viên đã học tương ứng với hai cách tính điểm trung bình như sau:</w:t>
      </w:r>
    </w:p>
    <w:p>
      <w:pPr>
        <w:spacing w:after="80" w:line="276" w:lineRule="auto"/>
      </w:pPr>
      <w:r>
        <w:rPr>
          <w:rFonts w:ascii="Arial" w:hAnsi="Arial"/>
          <w:color w:val="282828"/>
          <w:sz w:val="20"/>
        </w:rPr>
        <w:t>a) Điểm trung bình: là điểm trung bình của những học phần mà sinh viên đã học trong một học kỳ, trong một năm học hoặc tính từ đầu khóa học được tính theo điểm chính thức của học phần và trọng số là số tín chỉ của học phần đó.</w:t>
      </w:r>
    </w:p>
    <w:p>
      <w:pPr>
        <w:spacing w:after="80" w:line="276" w:lineRule="auto"/>
      </w:pPr>
      <w:r>
        <w:rPr>
          <w:rFonts w:ascii="Arial" w:hAnsi="Arial"/>
          <w:color w:val="282828"/>
          <w:sz w:val="20"/>
        </w:rPr>
        <w:t>b) Điểm trung bình tích lũy: là điểm trung bình của những học phần mà sinh viên đã đạt trong một học kỳ, trong một năm học hoặc tính từ đầu khóa học được tính theo điểm chính thức của học phần và trọng số là số tín chỉ của học phần đó.</w:t>
      </w:r>
    </w:p>
    <w:p>
      <w:pPr>
        <w:spacing w:after="80" w:line="276" w:lineRule="auto"/>
      </w:pPr>
      <w:r>
        <w:rPr>
          <w:rFonts w:ascii="Arial" w:hAnsi="Arial"/>
          <w:color w:val="282828"/>
          <w:sz w:val="20"/>
        </w:rPr>
        <w:t>c) Không tính kết quả thi vào điểm trung bình hoặc điểm trung bình tích lũy đối với các học phần sau đây:</w:t>
      </w:r>
    </w:p>
    <w:p>
      <w:pPr>
        <w:spacing w:after="80" w:line="276" w:lineRule="auto"/>
      </w:pPr>
      <w:r>
        <w:rPr>
          <w:rFonts w:ascii="Arial" w:hAnsi="Arial"/>
          <w:color w:val="282828"/>
          <w:sz w:val="20"/>
        </w:rPr>
        <w:t>Giáo dục quốc phòng - An ninh; Giáo dục thể chất; Ngoại ngữ (tổng quát); Tin học cơ sở; Các học phần khác theo quy định trong chương trình đào tạo.</w:t>
      </w:r>
    </w:p>
    <w:p>
      <w:pPr>
        <w:spacing w:after="80" w:line="276" w:lineRule="auto"/>
      </w:pPr>
      <w:r>
        <w:rPr>
          <w:rFonts w:ascii="Arial" w:hAnsi="Arial"/>
          <w:color w:val="282828"/>
          <w:sz w:val="20"/>
        </w:rPr>
        <w:t>d)  Việc đánh giá kết quả hoặc điều kiện cấp chứng chỉ đối với học phần Giáo dục quốc phòng - An ninh, Ngoại ngữ theo quy định chung của Bộ Giáo dục và Đào tạo, Đại học Quốc gia Thành phố Hồ Chí Minh.</w:t>
      </w:r>
    </w:p>
    <w:p>
      <w:pPr>
        <w:spacing w:after="80" w:line="276" w:lineRule="auto"/>
      </w:pPr>
      <w:r>
        <w:rPr>
          <w:rFonts w:ascii="Arial" w:hAnsi="Arial"/>
          <w:color w:val="282828"/>
          <w:sz w:val="20"/>
        </w:rPr>
        <w:t>2. Cách tính điểm trung bình và xếp loại a) Điểm trung bình hoặc điểm trung bình tích lũy của học kỳ, năm học, khóa học được tính theo công thức sau:</w:t>
      </w:r>
    </w:p>
    <w:p>
      <w:pPr>
        <w:spacing w:after="80" w:line="276" w:lineRule="auto"/>
      </w:pPr>
      <w:r>
        <w:rPr>
          <w:rFonts w:ascii="Arial" w:hAnsi="Arial"/>
          <w:color w:val="282828"/>
          <w:sz w:val="20"/>
        </w:rPr>
        <w:t>Trong đó:</w:t>
      </w:r>
    </w:p>
    <w:p>
      <w:pPr>
        <w:spacing w:after="80" w:line="276" w:lineRule="auto"/>
      </w:pPr>
      <w:r>
        <w:rPr>
          <w:rFonts w:ascii="Arial" w:hAnsi="Arial"/>
          <w:color w:val="282828"/>
          <w:sz w:val="20"/>
        </w:rPr>
        <w:t>A là điểm trung bình ai là điểm học phần của học phần thứ i ni là số tín chỉ của học phần thứ i N là tổng số học phần b) Điểm trung bình học kỳ và điểm trung bình tích lũy được sử dụng để xét thôi học, xét cảnh báo học tập, xếp loại học lực và xếp hạng tốt nghiệp. Kết quả học tập học kỳ và kết quả tốt nghiệp được phân loại theo điểm như sau:</w:t>
      </w:r>
    </w:p>
    <w:p>
      <w:pPr>
        <w:spacing w:after="80" w:line="276" w:lineRule="auto"/>
      </w:pPr>
      <w:r>
        <w:rPr>
          <w:rFonts w:ascii="Arial" w:hAnsi="Arial"/>
          <w:color w:val="282828"/>
          <w:sz w:val="20"/>
        </w:rPr>
        <w:t>Áp dụng từ khóa tuyển 2021 trở về sau:</w:t>
      </w:r>
    </w:p>
    <w:p>
      <w:pPr>
        <w:spacing w:after="80" w:line="276" w:lineRule="auto"/>
      </w:pPr>
      <w:r>
        <w:rPr>
          <w:rFonts w:ascii="Arial" w:hAnsi="Arial"/>
          <w:color w:val="282828"/>
          <w:sz w:val="20"/>
        </w:rPr>
        <w:t>Điểm trung bình Xếp loại/hạng a. Loại đạt Từ 9 đến 10 Xuất sắc Từ 8 đến cận 9 Giỏi Từ 7 đến cận 8 Khá Từ 5 đến cận 7 Trung bình b. Loại không đạt Xếp loại Từ 4 đến cận 5 Yếu Dưới 4 Kém Áp dụng cho khóa 2020 trở về trước:</w:t>
      </w:r>
    </w:p>
    <w:p>
      <w:pPr>
        <w:spacing w:after="80" w:line="276" w:lineRule="auto"/>
      </w:pPr>
      <w:r>
        <w:rPr>
          <w:rFonts w:ascii="Arial" w:hAnsi="Arial"/>
          <w:color w:val="282828"/>
          <w:sz w:val="20"/>
        </w:rPr>
        <w:t>Điểm trung bình Xếp loại/hạng a. Loại đạt Từ 9 đến 10 Xuất sắc Từ 8 đến cận 9 Giỏi Từ 7 đến cận 8 Khá Từ 6 đến cận 7 Trung bình khá Từ 5 đến cận 6 Trung bình b. Loại không đạt Xếp loại Từ 4 đến cận 5 Yếu Dưới 4 Kém</w:t>
      </w:r>
    </w:p>
    <w:p>
      <w:pPr>
        <w:spacing w:after="80" w:line="276" w:lineRule="auto"/>
      </w:pPr>
      <w:r>
        <w:rPr>
          <w:rFonts w:ascii="Arial" w:hAnsi="Arial"/>
          <w:color w:val="282828"/>
          <w:sz w:val="20"/>
        </w:rPr>
        <w:t>3. Sinh viên được xếp trình độ năm học căn cứ số tín chỉ tích lũy được từ đầu khóa học (gọi tắt là N) và số tín chỉ trung bình một năm học theo kế hoạch học tập chuẩn là 38 tín chỉ, cụ thể như sau:</w:t>
      </w:r>
    </w:p>
    <w:p>
      <w:pPr>
        <w:spacing w:after="80" w:line="276" w:lineRule="auto"/>
      </w:pPr>
      <w:r>
        <w:rPr>
          <w:rFonts w:ascii="Arial" w:hAnsi="Arial"/>
          <w:color w:val="282828"/>
          <w:sz w:val="20"/>
        </w:rPr>
        <w:t>a) Trình độ năm thứ nhất: N &lt; 38; b) Trình độ năm thứ hai: 38 ≤ N &lt; 76; c) Trình độ năm thứ ba: 76 ≤ N &lt; 114; d) Trình độ năm thứ tư:  114 ≤ N.</w:t>
      </w:r>
    </w:p>
    <w:p>
      <w:pPr>
        <w:spacing w:before="120" w:after="40"/>
      </w:pPr>
      <w:r>
        <w:rPr>
          <w:rFonts w:ascii="Arial" w:hAnsi="Arial"/>
          <w:b/>
          <w:color w:val="1E4678"/>
          <w:sz w:val="22"/>
        </w:rPr>
        <w:t>Điều 16.  Xử lý kết quả học tập theo tín chỉ</w:t>
      </w:r>
    </w:p>
    <w:p>
      <w:pPr>
        <w:spacing w:after="80" w:line="276" w:lineRule="auto"/>
      </w:pPr>
      <w:r>
        <w:rPr>
          <w:rFonts w:ascii="Arial" w:hAnsi="Arial"/>
          <w:color w:val="282828"/>
          <w:sz w:val="20"/>
        </w:rPr>
        <w:t>1. Cuối mỗi học kỳ chính, sinh viên được cảnh báo học tập nếu thuộc một trong hai trường hợp như sau:</w:t>
      </w:r>
    </w:p>
    <w:p>
      <w:pPr>
        <w:spacing w:after="80" w:line="276" w:lineRule="auto"/>
      </w:pPr>
      <w:r>
        <w:rPr>
          <w:rFonts w:ascii="Arial" w:hAnsi="Arial"/>
          <w:color w:val="282828"/>
          <w:sz w:val="20"/>
        </w:rPr>
        <w:t>a) Tổng số tín chỉ đạt trong học kỳ nhỏ hơn 7 tín chỉ (ngoại trừ sinh viên đã đạt tối thiểu 130 tín chỉ tích lũy).</w:t>
      </w:r>
    </w:p>
    <w:p>
      <w:pPr>
        <w:spacing w:after="80" w:line="276" w:lineRule="auto"/>
      </w:pPr>
      <w:r>
        <w:rPr>
          <w:rFonts w:ascii="Arial" w:hAnsi="Arial"/>
          <w:color w:val="282828"/>
          <w:sz w:val="20"/>
        </w:rPr>
        <w:t>b) Điểm trung bình chung học tập học kỳ liền kề trước đó dưới 3,0 hoặc điểm trung bình chung học tập của 2 học kỳ liền kề trước đó dưới 4,0.</w:t>
      </w:r>
    </w:p>
    <w:p>
      <w:pPr>
        <w:spacing w:after="80" w:line="276" w:lineRule="auto"/>
      </w:pPr>
      <w:r>
        <w:rPr>
          <w:rFonts w:ascii="Arial" w:hAnsi="Arial"/>
          <w:color w:val="282828"/>
          <w:sz w:val="20"/>
        </w:rPr>
        <w:t>2. Sinh viên bị buộc thôi học trong các trường hợp sau:</w:t>
      </w:r>
    </w:p>
    <w:p>
      <w:pPr>
        <w:spacing w:after="80" w:line="276" w:lineRule="auto"/>
      </w:pPr>
      <w:r>
        <w:rPr>
          <w:rFonts w:ascii="Arial" w:hAnsi="Arial"/>
          <w:color w:val="282828"/>
          <w:sz w:val="20"/>
        </w:rPr>
        <w:t>a) Không hoàn thành nghĩa vụ học phí đúng thời gian quy định của trường; b) Tự ý bỏ học hoặc bỏ thi từ một học kỳ chính trở lên; c) Được cảnh báo học tập lần thứ ba liên tiếp; d) Bị kỷ luật ở mức bị buộc thôi học theo quy định hiện hành; e) Thời gian học tập vượt quá giới hạn theo quy định tại khoản 7 Điều 2 của Quy chế này.</w:t>
      </w:r>
    </w:p>
    <w:p>
      <w:pPr>
        <w:spacing w:after="80" w:line="276" w:lineRule="auto"/>
      </w:pPr>
      <w:r>
        <w:rPr>
          <w:rFonts w:ascii="Arial" w:hAnsi="Arial"/>
          <w:color w:val="282828"/>
          <w:sz w:val="20"/>
        </w:rPr>
        <w:t>3. Sinh viên thuộc diện bị buộc thôi học sẽ bị xóa tên khỏi danh sách sinh viên. Trường sẽ thông báo cho sinh viên biết chậm nhất một tháng sau khi có quyết định buộc thôi học.</w:t>
      </w:r>
    </w:p>
    <w:p>
      <w:pPr>
        <w:spacing w:after="80" w:line="276" w:lineRule="auto"/>
      </w:pPr>
      <w:r>
        <w:rPr>
          <w:rFonts w:ascii="Arial" w:hAnsi="Arial"/>
          <w:color w:val="282828"/>
          <w:sz w:val="20"/>
        </w:rPr>
        <w:t>4. Kết quả học tập đã tích lũy của sinh viên trong trường hợp sinh viên bị buộc thôi học được lưu trữ tại Trường.</w:t>
      </w:r>
    </w:p>
    <w:p>
      <w:pPr>
        <w:spacing w:before="120" w:after="40"/>
      </w:pPr>
      <w:r>
        <w:rPr>
          <w:rFonts w:ascii="Arial" w:hAnsi="Arial"/>
          <w:b/>
          <w:color w:val="1E4678"/>
          <w:sz w:val="22"/>
        </w:rPr>
        <w:t>Điều 17.  Xét tốt nghiệp và công nhận tốt nghiệp</w:t>
      </w:r>
    </w:p>
    <w:p>
      <w:pPr>
        <w:spacing w:after="80" w:line="276" w:lineRule="auto"/>
      </w:pPr>
      <w:r>
        <w:rPr>
          <w:rFonts w:ascii="Arial" w:hAnsi="Arial"/>
          <w:color w:val="282828"/>
          <w:sz w:val="20"/>
        </w:rPr>
        <w:t>1. Sinh viên phải thực hiện quy trình và thủ tục xét tốt nghiệp và công nhận tốt nghiệp ngay sau khi đủ điều kiện.</w:t>
      </w:r>
    </w:p>
    <w:p>
      <w:pPr>
        <w:spacing w:after="80" w:line="276" w:lineRule="auto"/>
      </w:pPr>
      <w:r>
        <w:rPr>
          <w:rFonts w:ascii="Arial" w:hAnsi="Arial"/>
          <w:color w:val="282828"/>
          <w:sz w:val="20"/>
        </w:rPr>
        <w:t>2. Cuối mỗi học kỳ, Trường sẽ thông báo xét tốt nghiệp cho sinh viên.</w:t>
      </w:r>
    </w:p>
    <w:p>
      <w:pPr>
        <w:spacing w:after="80" w:line="276" w:lineRule="auto"/>
      </w:pPr>
      <w:r>
        <w:rPr>
          <w:rFonts w:ascii="Arial" w:hAnsi="Arial"/>
          <w:color w:val="282828"/>
          <w:sz w:val="20"/>
        </w:rPr>
        <w:t>3. Sinh viên được xét và công nhận tốt nghiệp khi có đủ các điều kiện sau:</w:t>
      </w:r>
    </w:p>
    <w:p>
      <w:pPr>
        <w:spacing w:after="80" w:line="276" w:lineRule="auto"/>
      </w:pPr>
      <w:r>
        <w:rPr>
          <w:rFonts w:ascii="Arial" w:hAnsi="Arial"/>
          <w:color w:val="282828"/>
          <w:sz w:val="20"/>
        </w:rPr>
        <w:t>a) Cho đến thời điểm xét tốt nghiệp không bị truy cứu trách nhiệm hình sự hoặc không đang trong thời gian bị kỷ luật ở mức đình chỉ học tập; b) Tích lũy đủ số học phần và tổng số tín chỉ theo quy định của chương trình đào tạo; c) Đã hoàn tất đủ các học phần Giáo dục quốc phòng (có chứng chỉ GDQP- An ninh) và Giáo dục thể chất; d) Đạt chuẩn trình độ ngoại ngữ theo quy định của Trường; e) Đạt chuẩn trình độ tin học theo quy định trong các chương trình đào tạo của Trường; f) Sinh viên đã đủ điều kiện tốt nghiệp ở học kỳ nào phải nộp hồ sơ xét tốt nghiệp ở học kỳ đó. Sinh viên được phép xin hủy điểm đối với các học phần tự chọn nếu không ảnh hưởng đến điều kiện được công nhận tốt nghiệp.</w:t>
      </w:r>
    </w:p>
    <w:p>
      <w:pPr>
        <w:spacing w:after="80" w:line="276" w:lineRule="auto"/>
      </w:pPr>
      <w:r>
        <w:rPr>
          <w:rFonts w:ascii="Arial" w:hAnsi="Arial"/>
          <w:color w:val="282828"/>
          <w:sz w:val="20"/>
        </w:rPr>
        <w:t>4. Hiệu trưởng ban hành quyết định thành lập Hội đồng xét tốt nghiệp để điều hành công tác xét tốt nghiệp. Thành phần của Hội đồng xét tốt nghiệp gồm có: Chủ tịch Hội đồng là Hiệu Trưởng hoặc phó Hiệu Trưởng; Trưởng phòng Đào tạo làm ủy viên thường trực; các thành viên khác là Trưởng Khoa chuyên môn, phó Trưởng Phòng Đào tạo, Trưởng Phòng Công tác sinh viên làm ủy viên.</w:t>
      </w:r>
    </w:p>
    <w:p>
      <w:pPr>
        <w:spacing w:after="80" w:line="276" w:lineRule="auto"/>
      </w:pPr>
      <w:r>
        <w:rPr>
          <w:rFonts w:ascii="Arial" w:hAnsi="Arial"/>
          <w:color w:val="282828"/>
          <w:sz w:val="20"/>
        </w:rPr>
        <w:t>5. Hiệu trưởng ban hành quyết định thành lập Ban thư ký Hội đồng xét tốt nghiệp để thực hiện công tác nhận và kiểm tra hồ sơ tốt nghiệp, xét tốt nghiệp, công bố danh sách tốt nghiệp, in và cấp phát bằng tốt nghiệp. Thành phần của Ban thư ký gồm có: Trưởng Ban thư ký là Trưởng Phòng Đào tạo, các phó Trưởng Ban là các Phó Trưởng Phòng Đào tạo; các thành viên khác là ủy viên.</w:t>
      </w:r>
    </w:p>
    <w:p>
      <w:pPr>
        <w:spacing w:after="80" w:line="276" w:lineRule="auto"/>
      </w:pPr>
      <w:r>
        <w:rPr>
          <w:rFonts w:ascii="Arial" w:hAnsi="Arial"/>
          <w:color w:val="282828"/>
          <w:sz w:val="20"/>
        </w:rPr>
        <w:t>6. Căn cứ kết quả xét tốt nghiệp và đề nghị của Hội đồng xét tốt nghiệp, Hiệu trưởng ban hành quyết định công nhận tốt nghiệp cho những sinh viên đủ điều kiện theo quy định.</w:t>
      </w:r>
    </w:p>
    <w:p>
      <w:pPr>
        <w:spacing w:before="120" w:after="40"/>
      </w:pPr>
      <w:r>
        <w:rPr>
          <w:rFonts w:ascii="Arial" w:hAnsi="Arial"/>
          <w:b/>
          <w:color w:val="1E4678"/>
          <w:sz w:val="22"/>
        </w:rPr>
        <w:t>Điều 18.  Cấp bằng tốt nghiệp</w:t>
      </w:r>
    </w:p>
    <w:p>
      <w:pPr>
        <w:spacing w:after="80" w:line="276" w:lineRule="auto"/>
      </w:pPr>
      <w:r>
        <w:rPr>
          <w:rFonts w:ascii="Arial" w:hAnsi="Arial"/>
          <w:color w:val="282828"/>
          <w:sz w:val="20"/>
        </w:rPr>
        <w:t>1. Những sinh viên đã nộp hồ sơ tốt nghiệp, nếu đủ điều kiện tốt nghiệp sẽ được Hiệu trưởng ra quyết định công nhận tốt nghiệp được cấp bằng tốt nghiệp trong thời hạn 03 tháng tính từ thời điểm sinh viên đáp ứng đầy đủ điều kiện tốt nghiệp và hoàn thành các nghĩa vụ với nhà Trường.</w:t>
      </w:r>
    </w:p>
    <w:p>
      <w:pPr>
        <w:spacing w:after="80" w:line="276" w:lineRule="auto"/>
      </w:pPr>
      <w:r>
        <w:rPr>
          <w:rFonts w:ascii="Arial" w:hAnsi="Arial"/>
          <w:color w:val="282828"/>
          <w:sz w:val="20"/>
        </w:rPr>
        <w:t>2. Bằng tốt nghiệp đại học được cấp theo ngành đào tạo. Việc cấp bằng được thực hiện theo quy chế văn bằng, chứng chỉ hiện hành.</w:t>
      </w:r>
    </w:p>
    <w:p>
      <w:pPr>
        <w:spacing w:after="80" w:line="276" w:lineRule="auto"/>
      </w:pPr>
      <w:r>
        <w:rPr>
          <w:rFonts w:ascii="Arial" w:hAnsi="Arial"/>
          <w:color w:val="282828"/>
          <w:sz w:val="20"/>
        </w:rPr>
        <w:t>3. Hạng tốt nghiệp được xác định căn cứ vào điểm trung bình tích lũy toàn khóa được quy định tại điểm b khoản 2 Điều 15 của Quy chế này. Hạng tốt nghiệp của sinh viên có điểm trung bình tích lũy loại xuất sắc và giỏi sẽ bị giảm đi một mức nếu đã bị kỷ luật từ mức cảnh cáo trở lên trong thời gian học.</w:t>
      </w:r>
    </w:p>
    <w:p>
      <w:pPr>
        <w:spacing w:after="80" w:line="276" w:lineRule="auto"/>
      </w:pPr>
      <w:r>
        <w:rPr>
          <w:rFonts w:ascii="Arial" w:hAnsi="Arial"/>
          <w:color w:val="282828"/>
          <w:sz w:val="20"/>
        </w:rPr>
        <w:t>4. Kết quả học tập của sinh viên được ghi vào bảng điểm theo từng học phần và phát kèm theo bằng tốt nghiệp.</w:t>
      </w:r>
    </w:p>
    <w:p>
      <w:pPr>
        <w:spacing w:after="80" w:line="276" w:lineRule="auto"/>
      </w:pPr>
      <w:r>
        <w:rPr>
          <w:rFonts w:ascii="Arial" w:hAnsi="Arial"/>
          <w:color w:val="282828"/>
          <w:sz w:val="20"/>
        </w:rPr>
        <w:t>5. Sinh viên đã hết thời gian học tập tối đa theo quy định nhưng chưa đủ điều kiện tốt nghiệp do chưa hoàn thành những học phần Giáo dục quốc phòng- An ninh hoặc Giáo dục thể chất hoặc chưa đạt chuẩn đầu ra về ngoại ngữ, công nghệ thông tin, trong thời hạn 03 năm tính từ khi thôi học được hoàn thiện các</w:t>
      </w:r>
    </w:p>
    <w:tbl>
      <w:tblPr>
        <w:tblW w:type="auto" w:w="0"/>
        <w:jc w:val="center"/>
        <w:tblLook w:firstColumn="1" w:firstRow="1" w:lastColumn="0" w:lastRow="0" w:noHBand="0" w:noVBand="1" w:val="04A0"/>
      </w:tblPr>
      <w:tblGrid>
        <w:gridCol w:w="2412"/>
        <w:gridCol w:w="2412"/>
        <w:gridCol w:w="2412"/>
        <w:gridCol w:w="2412"/>
      </w:tblGrid>
      <w:tr>
        <w:tc>
          <w:tcPr>
            <w:tcW w:type="dxa" w:w="2412"/>
            <w:shd w:val="clear" w:color="auto" w:fill="1B365D"/>
            <w:tcMar>
              <w:top w:w="100" w:type="dxa"/>
              <w:bottom w:w="100" w:type="dxa"/>
              <w:left w:w="120" w:type="dxa"/>
              <w:right w:w="120" w:type="dxa"/>
            </w:tcMar>
          </w:tcPr>
          <w:p>
            <w:pPr>
              <w:jc w:val="center"/>
            </w:pPr>
            <w:r>
              <w:rPr>
                <w:rFonts w:ascii="Arial" w:hAnsi="Arial"/>
                <w:b/>
                <w:color w:val="FFFFFF"/>
                <w:sz w:val="19"/>
              </w:rPr>
              <w:t>Xếp Loại Học Lực</w:t>
            </w:r>
          </w:p>
        </w:tc>
        <w:tc>
          <w:tcPr>
            <w:tcW w:type="dxa" w:w="2412"/>
            <w:shd w:val="clear" w:color="auto" w:fill="1B365D"/>
            <w:tcMar>
              <w:top w:w="100" w:type="dxa"/>
              <w:bottom w:w="100" w:type="dxa"/>
              <w:left w:w="120" w:type="dxa"/>
              <w:right w:w="120" w:type="dxa"/>
            </w:tcMar>
          </w:tcPr>
          <w:p>
            <w:pPr>
              <w:jc w:val="center"/>
            </w:pPr>
            <w:r>
              <w:rPr>
                <w:rFonts w:ascii="Arial" w:hAnsi="Arial"/>
                <w:b/>
                <w:color w:val="FFFFFF"/>
                <w:sz w:val="19"/>
              </w:rPr>
              <w:t>Khóa K2021 Trở Về Sau (Thang 10)</w:t>
            </w:r>
          </w:p>
        </w:tc>
        <w:tc>
          <w:tcPr>
            <w:tcW w:type="dxa" w:w="2412"/>
            <w:shd w:val="clear" w:color="auto" w:fill="1B365D"/>
            <w:tcMar>
              <w:top w:w="100" w:type="dxa"/>
              <w:bottom w:w="100" w:type="dxa"/>
              <w:left w:w="120" w:type="dxa"/>
              <w:right w:w="120" w:type="dxa"/>
            </w:tcMar>
          </w:tcPr>
          <w:p>
            <w:pPr>
              <w:jc w:val="center"/>
            </w:pPr>
            <w:r>
              <w:rPr>
                <w:rFonts w:ascii="Arial" w:hAnsi="Arial"/>
                <w:b/>
                <w:color w:val="FFFFFF"/>
                <w:sz w:val="19"/>
              </w:rPr>
              <w:t>Khóa K2021 Trở Về Sau (Thang 4)</w:t>
            </w:r>
          </w:p>
        </w:tc>
        <w:tc>
          <w:tcPr>
            <w:tcW w:type="dxa" w:w="2412"/>
            <w:shd w:val="clear" w:color="auto" w:fill="1B365D"/>
            <w:tcMar>
              <w:top w:w="100" w:type="dxa"/>
              <w:bottom w:w="100" w:type="dxa"/>
              <w:left w:w="120" w:type="dxa"/>
              <w:right w:w="120" w:type="dxa"/>
            </w:tcMar>
          </w:tcPr>
          <w:p>
            <w:pPr>
              <w:jc w:val="center"/>
            </w:pPr>
            <w:r>
              <w:rPr>
                <w:rFonts w:ascii="Arial" w:hAnsi="Arial"/>
                <w:b/>
                <w:color w:val="FFFFFF"/>
                <w:sz w:val="19"/>
              </w:rPr>
              <w:t>Khóa K2020 Trở Về Trước (Thang 10)</w:t>
            </w:r>
          </w:p>
        </w:tc>
      </w:tr>
      <w:tr>
        <w:tc>
          <w:tcPr>
            <w:tcW w:type="dxa" w:w="2412"/>
            <w:shd w:val="clear" w:color="auto" w:fill="F2F5F9"/>
            <w:tcMar>
              <w:top w:w="100" w:type="dxa"/>
              <w:bottom w:w="100" w:type="dxa"/>
              <w:left w:w="120" w:type="dxa"/>
              <w:right w:w="120" w:type="dxa"/>
            </w:tcMar>
          </w:tcPr>
          <w:p>
            <w:r>
              <w:rPr>
                <w:rFonts w:ascii="Arial" w:hAnsi="Arial"/>
                <w:sz w:val="19"/>
              </w:rPr>
              <w:t>Xuất sắc</w:t>
            </w:r>
          </w:p>
        </w:tc>
        <w:tc>
          <w:tcPr>
            <w:tcW w:type="dxa" w:w="2412"/>
            <w:shd w:val="clear" w:color="auto" w:fill="F2F5F9"/>
            <w:tcMar>
              <w:top w:w="100" w:type="dxa"/>
              <w:bottom w:w="100" w:type="dxa"/>
              <w:left w:w="120" w:type="dxa"/>
              <w:right w:w="120" w:type="dxa"/>
            </w:tcMar>
          </w:tcPr>
          <w:p>
            <w:r>
              <w:rPr>
                <w:rFonts w:ascii="Arial" w:hAnsi="Arial"/>
                <w:sz w:val="19"/>
              </w:rPr>
              <w:t>Từ 9,0 đến 10,0</w:t>
            </w:r>
          </w:p>
        </w:tc>
        <w:tc>
          <w:tcPr>
            <w:tcW w:type="dxa" w:w="2412"/>
            <w:shd w:val="clear" w:color="auto" w:fill="F2F5F9"/>
            <w:tcMar>
              <w:top w:w="100" w:type="dxa"/>
              <w:bottom w:w="100" w:type="dxa"/>
              <w:left w:w="120" w:type="dxa"/>
              <w:right w:w="120" w:type="dxa"/>
            </w:tcMar>
          </w:tcPr>
          <w:p>
            <w:r>
              <w:rPr>
                <w:rFonts w:ascii="Arial" w:hAnsi="Arial"/>
                <w:sz w:val="19"/>
              </w:rPr>
              <w:t>Từ 3,60 đến 4,00</w:t>
            </w:r>
          </w:p>
        </w:tc>
        <w:tc>
          <w:tcPr>
            <w:tcW w:type="dxa" w:w="2412"/>
            <w:shd w:val="clear" w:color="auto" w:fill="F2F5F9"/>
            <w:tcMar>
              <w:top w:w="100" w:type="dxa"/>
              <w:bottom w:w="100" w:type="dxa"/>
              <w:left w:w="120" w:type="dxa"/>
              <w:right w:w="120" w:type="dxa"/>
            </w:tcMar>
          </w:tcPr>
          <w:p>
            <w:r>
              <w:rPr>
                <w:rFonts w:ascii="Arial" w:hAnsi="Arial"/>
                <w:sz w:val="19"/>
              </w:rPr>
              <w:t>Từ 9,0 đến 10,0</w:t>
            </w:r>
          </w:p>
        </w:tc>
      </w:tr>
      <w:tr>
        <w:tc>
          <w:tcPr>
            <w:tcW w:type="dxa" w:w="2412"/>
            <w:tcMar>
              <w:top w:w="100" w:type="dxa"/>
              <w:bottom w:w="100" w:type="dxa"/>
              <w:left w:w="120" w:type="dxa"/>
              <w:right w:w="120" w:type="dxa"/>
            </w:tcMar>
          </w:tcPr>
          <w:p>
            <w:r>
              <w:rPr>
                <w:rFonts w:ascii="Arial" w:hAnsi="Arial"/>
                <w:sz w:val="19"/>
              </w:rPr>
              <w:t>Giỏi</w:t>
            </w:r>
          </w:p>
        </w:tc>
        <w:tc>
          <w:tcPr>
            <w:tcW w:type="dxa" w:w="2412"/>
            <w:tcMar>
              <w:top w:w="100" w:type="dxa"/>
              <w:bottom w:w="100" w:type="dxa"/>
              <w:left w:w="120" w:type="dxa"/>
              <w:right w:w="120" w:type="dxa"/>
            </w:tcMar>
          </w:tcPr>
          <w:p>
            <w:r>
              <w:rPr>
                <w:rFonts w:ascii="Arial" w:hAnsi="Arial"/>
                <w:sz w:val="19"/>
              </w:rPr>
              <w:t>Từ 8,0 đến cận 9,0</w:t>
            </w:r>
          </w:p>
        </w:tc>
        <w:tc>
          <w:tcPr>
            <w:tcW w:type="dxa" w:w="2412"/>
            <w:tcMar>
              <w:top w:w="100" w:type="dxa"/>
              <w:bottom w:w="100" w:type="dxa"/>
              <w:left w:w="120" w:type="dxa"/>
              <w:right w:w="120" w:type="dxa"/>
            </w:tcMar>
          </w:tcPr>
          <w:p>
            <w:r>
              <w:rPr>
                <w:rFonts w:ascii="Arial" w:hAnsi="Arial"/>
                <w:sz w:val="19"/>
              </w:rPr>
              <w:t>Từ 3,20 đến cận 3,60</w:t>
            </w:r>
          </w:p>
        </w:tc>
        <w:tc>
          <w:tcPr>
            <w:tcW w:type="dxa" w:w="2412"/>
            <w:tcMar>
              <w:top w:w="100" w:type="dxa"/>
              <w:bottom w:w="100" w:type="dxa"/>
              <w:left w:w="120" w:type="dxa"/>
              <w:right w:w="120" w:type="dxa"/>
            </w:tcMar>
          </w:tcPr>
          <w:p>
            <w:r>
              <w:rPr>
                <w:rFonts w:ascii="Arial" w:hAnsi="Arial"/>
                <w:sz w:val="19"/>
              </w:rPr>
              <w:t>Từ 8,0 đến cận 9,0</w:t>
            </w:r>
          </w:p>
        </w:tc>
      </w:tr>
      <w:tr>
        <w:tc>
          <w:tcPr>
            <w:tcW w:type="dxa" w:w="2412"/>
            <w:shd w:val="clear" w:color="auto" w:fill="F2F5F9"/>
            <w:tcMar>
              <w:top w:w="100" w:type="dxa"/>
              <w:bottom w:w="100" w:type="dxa"/>
              <w:left w:w="120" w:type="dxa"/>
              <w:right w:w="120" w:type="dxa"/>
            </w:tcMar>
          </w:tcPr>
          <w:p>
            <w:r>
              <w:rPr>
                <w:rFonts w:ascii="Arial" w:hAnsi="Arial"/>
                <w:sz w:val="19"/>
              </w:rPr>
              <w:t>Khá</w:t>
            </w:r>
          </w:p>
        </w:tc>
        <w:tc>
          <w:tcPr>
            <w:tcW w:type="dxa" w:w="2412"/>
            <w:shd w:val="clear" w:color="auto" w:fill="F2F5F9"/>
            <w:tcMar>
              <w:top w:w="100" w:type="dxa"/>
              <w:bottom w:w="100" w:type="dxa"/>
              <w:left w:w="120" w:type="dxa"/>
              <w:right w:w="120" w:type="dxa"/>
            </w:tcMar>
          </w:tcPr>
          <w:p>
            <w:r>
              <w:rPr>
                <w:rFonts w:ascii="Arial" w:hAnsi="Arial"/>
                <w:sz w:val="19"/>
              </w:rPr>
              <w:t>Từ 7,0 đến cận 8,0</w:t>
            </w:r>
          </w:p>
        </w:tc>
        <w:tc>
          <w:tcPr>
            <w:tcW w:type="dxa" w:w="2412"/>
            <w:shd w:val="clear" w:color="auto" w:fill="F2F5F9"/>
            <w:tcMar>
              <w:top w:w="100" w:type="dxa"/>
              <w:bottom w:w="100" w:type="dxa"/>
              <w:left w:w="120" w:type="dxa"/>
              <w:right w:w="120" w:type="dxa"/>
            </w:tcMar>
          </w:tcPr>
          <w:p>
            <w:r>
              <w:rPr>
                <w:rFonts w:ascii="Arial" w:hAnsi="Arial"/>
                <w:sz w:val="19"/>
              </w:rPr>
              <w:t>Từ 2,80 đến cận 3,20</w:t>
            </w:r>
          </w:p>
        </w:tc>
        <w:tc>
          <w:tcPr>
            <w:tcW w:type="dxa" w:w="2412"/>
            <w:shd w:val="clear" w:color="auto" w:fill="F2F5F9"/>
            <w:tcMar>
              <w:top w:w="100" w:type="dxa"/>
              <w:bottom w:w="100" w:type="dxa"/>
              <w:left w:w="120" w:type="dxa"/>
              <w:right w:w="120" w:type="dxa"/>
            </w:tcMar>
          </w:tcPr>
          <w:p>
            <w:r>
              <w:rPr>
                <w:rFonts w:ascii="Arial" w:hAnsi="Arial"/>
                <w:sz w:val="19"/>
              </w:rPr>
              <w:t>Từ 7,0 đến cận 8,0</w:t>
            </w:r>
          </w:p>
        </w:tc>
      </w:tr>
      <w:tr>
        <w:tc>
          <w:tcPr>
            <w:tcW w:type="dxa" w:w="2412"/>
            <w:tcMar>
              <w:top w:w="100" w:type="dxa"/>
              <w:bottom w:w="100" w:type="dxa"/>
              <w:left w:w="120" w:type="dxa"/>
              <w:right w:w="120" w:type="dxa"/>
            </w:tcMar>
          </w:tcPr>
          <w:p>
            <w:r>
              <w:rPr>
                <w:rFonts w:ascii="Arial" w:hAnsi="Arial"/>
                <w:sz w:val="19"/>
              </w:rPr>
              <w:t>Trung bình khá</w:t>
            </w:r>
          </w:p>
        </w:tc>
        <w:tc>
          <w:tcPr>
            <w:tcW w:type="dxa" w:w="2412"/>
            <w:tcMar>
              <w:top w:w="100" w:type="dxa"/>
              <w:bottom w:w="100" w:type="dxa"/>
              <w:left w:w="120" w:type="dxa"/>
              <w:right w:w="120" w:type="dxa"/>
            </w:tcMar>
          </w:tcPr>
          <w:p>
            <w:r>
              <w:rPr>
                <w:rFonts w:ascii="Arial" w:hAnsi="Arial"/>
                <w:sz w:val="19"/>
              </w:rPr>
              <w:t>— (Không áp dụng)</w:t>
            </w:r>
          </w:p>
        </w:tc>
        <w:tc>
          <w:tcPr>
            <w:tcW w:type="dxa" w:w="2412"/>
            <w:tcMar>
              <w:top w:w="100" w:type="dxa"/>
              <w:bottom w:w="100" w:type="dxa"/>
              <w:left w:w="120" w:type="dxa"/>
              <w:right w:w="120" w:type="dxa"/>
            </w:tcMar>
          </w:tcPr>
          <w:p>
            <w:r>
              <w:rPr>
                <w:rFonts w:ascii="Arial" w:hAnsi="Arial"/>
                <w:sz w:val="19"/>
              </w:rPr>
              <w:t>— (Không áp dụng)</w:t>
            </w:r>
          </w:p>
        </w:tc>
        <w:tc>
          <w:tcPr>
            <w:tcW w:type="dxa" w:w="2412"/>
            <w:tcMar>
              <w:top w:w="100" w:type="dxa"/>
              <w:bottom w:w="100" w:type="dxa"/>
              <w:left w:w="120" w:type="dxa"/>
              <w:right w:w="120" w:type="dxa"/>
            </w:tcMar>
          </w:tcPr>
          <w:p>
            <w:r>
              <w:rPr>
                <w:rFonts w:ascii="Arial" w:hAnsi="Arial"/>
                <w:sz w:val="19"/>
              </w:rPr>
              <w:t>Từ 6,0 đến cận 7,0</w:t>
            </w:r>
          </w:p>
        </w:tc>
      </w:tr>
      <w:tr>
        <w:tc>
          <w:tcPr>
            <w:tcW w:type="dxa" w:w="2412"/>
            <w:shd w:val="clear" w:color="auto" w:fill="F2F5F9"/>
            <w:tcMar>
              <w:top w:w="100" w:type="dxa"/>
              <w:bottom w:w="100" w:type="dxa"/>
              <w:left w:w="120" w:type="dxa"/>
              <w:right w:w="120" w:type="dxa"/>
            </w:tcMar>
          </w:tcPr>
          <w:p>
            <w:r>
              <w:rPr>
                <w:rFonts w:ascii="Arial" w:hAnsi="Arial"/>
                <w:sz w:val="19"/>
              </w:rPr>
              <w:t>Trung bình</w:t>
            </w:r>
          </w:p>
        </w:tc>
        <w:tc>
          <w:tcPr>
            <w:tcW w:type="dxa" w:w="2412"/>
            <w:shd w:val="clear" w:color="auto" w:fill="F2F5F9"/>
            <w:tcMar>
              <w:top w:w="100" w:type="dxa"/>
              <w:bottom w:w="100" w:type="dxa"/>
              <w:left w:w="120" w:type="dxa"/>
              <w:right w:w="120" w:type="dxa"/>
            </w:tcMar>
          </w:tcPr>
          <w:p>
            <w:r>
              <w:rPr>
                <w:rFonts w:ascii="Arial" w:hAnsi="Arial"/>
                <w:sz w:val="19"/>
              </w:rPr>
              <w:t>Từ 5,0 đến cận 7,0</w:t>
            </w:r>
          </w:p>
        </w:tc>
        <w:tc>
          <w:tcPr>
            <w:tcW w:type="dxa" w:w="2412"/>
            <w:shd w:val="clear" w:color="auto" w:fill="F2F5F9"/>
            <w:tcMar>
              <w:top w:w="100" w:type="dxa"/>
              <w:bottom w:w="100" w:type="dxa"/>
              <w:left w:w="120" w:type="dxa"/>
              <w:right w:w="120" w:type="dxa"/>
            </w:tcMar>
          </w:tcPr>
          <w:p>
            <w:r>
              <w:rPr>
                <w:rFonts w:ascii="Arial" w:hAnsi="Arial"/>
                <w:sz w:val="19"/>
              </w:rPr>
              <w:t>Từ 1,60 đến cận 2,80</w:t>
            </w:r>
          </w:p>
        </w:tc>
        <w:tc>
          <w:tcPr>
            <w:tcW w:type="dxa" w:w="2412"/>
            <w:shd w:val="clear" w:color="auto" w:fill="F2F5F9"/>
            <w:tcMar>
              <w:top w:w="100" w:type="dxa"/>
              <w:bottom w:w="100" w:type="dxa"/>
              <w:left w:w="120" w:type="dxa"/>
              <w:right w:w="120" w:type="dxa"/>
            </w:tcMar>
          </w:tcPr>
          <w:p>
            <w:r>
              <w:rPr>
                <w:rFonts w:ascii="Arial" w:hAnsi="Arial"/>
                <w:sz w:val="19"/>
              </w:rPr>
              <w:t>Từ 5,0 đến cận 6,0</w:t>
            </w:r>
          </w:p>
        </w:tc>
      </w:tr>
      <w:tr>
        <w:tc>
          <w:tcPr>
            <w:tcW w:type="dxa" w:w="2412"/>
            <w:tcMar>
              <w:top w:w="100" w:type="dxa"/>
              <w:bottom w:w="100" w:type="dxa"/>
              <w:left w:w="120" w:type="dxa"/>
              <w:right w:w="120" w:type="dxa"/>
            </w:tcMar>
          </w:tcPr>
          <w:p>
            <w:r>
              <w:rPr>
                <w:rFonts w:ascii="Arial" w:hAnsi="Arial"/>
                <w:sz w:val="19"/>
              </w:rPr>
              <w:t>Yếu (Không đạt)</w:t>
            </w:r>
          </w:p>
        </w:tc>
        <w:tc>
          <w:tcPr>
            <w:tcW w:type="dxa" w:w="2412"/>
            <w:tcMar>
              <w:top w:w="100" w:type="dxa"/>
              <w:bottom w:w="100" w:type="dxa"/>
              <w:left w:w="120" w:type="dxa"/>
              <w:right w:w="120" w:type="dxa"/>
            </w:tcMar>
          </w:tcPr>
          <w:p>
            <w:r>
              <w:rPr>
                <w:rFonts w:ascii="Arial" w:hAnsi="Arial"/>
                <w:sz w:val="19"/>
              </w:rPr>
              <w:t>Từ 4,0 đến cận 5,0</w:t>
            </w:r>
          </w:p>
        </w:tc>
        <w:tc>
          <w:tcPr>
            <w:tcW w:type="dxa" w:w="2412"/>
            <w:tcMar>
              <w:top w:w="100" w:type="dxa"/>
              <w:bottom w:w="100" w:type="dxa"/>
              <w:left w:w="120" w:type="dxa"/>
              <w:right w:w="120" w:type="dxa"/>
            </w:tcMar>
          </w:tcPr>
          <w:p>
            <w:r>
              <w:rPr>
                <w:rFonts w:ascii="Arial" w:hAnsi="Arial"/>
                <w:sz w:val="19"/>
              </w:rPr>
              <w:t>Từ 0,80 đến cận 1,60</w:t>
            </w:r>
          </w:p>
        </w:tc>
        <w:tc>
          <w:tcPr>
            <w:tcW w:type="dxa" w:w="2412"/>
            <w:tcMar>
              <w:top w:w="100" w:type="dxa"/>
              <w:bottom w:w="100" w:type="dxa"/>
              <w:left w:w="120" w:type="dxa"/>
              <w:right w:w="120" w:type="dxa"/>
            </w:tcMar>
          </w:tcPr>
          <w:p>
            <w:r>
              <w:rPr>
                <w:rFonts w:ascii="Arial" w:hAnsi="Arial"/>
                <w:sz w:val="19"/>
              </w:rPr>
              <w:t>Từ 4,0 đến cận 5,0</w:t>
            </w:r>
          </w:p>
        </w:tc>
      </w:tr>
      <w:tr>
        <w:tc>
          <w:tcPr>
            <w:tcW w:type="dxa" w:w="2412"/>
            <w:shd w:val="clear" w:color="auto" w:fill="F2F5F9"/>
            <w:tcMar>
              <w:top w:w="100" w:type="dxa"/>
              <w:bottom w:w="100" w:type="dxa"/>
              <w:left w:w="120" w:type="dxa"/>
              <w:right w:w="120" w:type="dxa"/>
            </w:tcMar>
          </w:tcPr>
          <w:p>
            <w:r>
              <w:rPr>
                <w:rFonts w:ascii="Arial" w:hAnsi="Arial"/>
                <w:sz w:val="19"/>
              </w:rPr>
              <w:t>Kém (Không đạt)</w:t>
            </w:r>
          </w:p>
        </w:tc>
        <w:tc>
          <w:tcPr>
            <w:tcW w:type="dxa" w:w="2412"/>
            <w:shd w:val="clear" w:color="auto" w:fill="F2F5F9"/>
            <w:tcMar>
              <w:top w:w="100" w:type="dxa"/>
              <w:bottom w:w="100" w:type="dxa"/>
              <w:left w:w="120" w:type="dxa"/>
              <w:right w:w="120" w:type="dxa"/>
            </w:tcMar>
          </w:tcPr>
          <w:p>
            <w:r>
              <w:rPr>
                <w:rFonts w:ascii="Arial" w:hAnsi="Arial"/>
                <w:sz w:val="19"/>
              </w:rPr>
              <w:t>Dưới 4,0</w:t>
            </w:r>
          </w:p>
        </w:tc>
        <w:tc>
          <w:tcPr>
            <w:tcW w:type="dxa" w:w="2412"/>
            <w:shd w:val="clear" w:color="auto" w:fill="F2F5F9"/>
            <w:tcMar>
              <w:top w:w="100" w:type="dxa"/>
              <w:bottom w:w="100" w:type="dxa"/>
              <w:left w:w="120" w:type="dxa"/>
              <w:right w:w="120" w:type="dxa"/>
            </w:tcMar>
          </w:tcPr>
          <w:p>
            <w:r>
              <w:rPr>
                <w:rFonts w:ascii="Arial" w:hAnsi="Arial"/>
                <w:sz w:val="19"/>
              </w:rPr>
              <w:t>Dưới 0,80</w:t>
            </w:r>
          </w:p>
        </w:tc>
        <w:tc>
          <w:tcPr>
            <w:tcW w:type="dxa" w:w="2412"/>
            <w:shd w:val="clear" w:color="auto" w:fill="F2F5F9"/>
            <w:tcMar>
              <w:top w:w="100" w:type="dxa"/>
              <w:bottom w:w="100" w:type="dxa"/>
              <w:left w:w="120" w:type="dxa"/>
              <w:right w:w="120" w:type="dxa"/>
            </w:tcMar>
          </w:tcPr>
          <w:p>
            <w:r>
              <w:rPr>
                <w:rFonts w:ascii="Arial" w:hAnsi="Arial"/>
                <w:sz w:val="19"/>
              </w:rPr>
              <w:t>Dưới 4,0</w:t>
            </w:r>
          </w:p>
        </w:tc>
      </w:tr>
    </w:tbl>
    <w:p/>
    <w:p>
      <w:pPr>
        <w:spacing w:after="80" w:line="276" w:lineRule="auto"/>
      </w:pPr>
      <w:r>
        <w:rPr>
          <w:rFonts w:ascii="Arial" w:hAnsi="Arial"/>
          <w:color w:val="282828"/>
          <w:sz w:val="20"/>
        </w:rPr>
        <w:t>pháp luật của Nhà nước trong cộng đồng.</w:t>
      </w:r>
    </w:p>
    <w:p>
      <w:pPr>
        <w:spacing w:after="80" w:line="276" w:lineRule="auto"/>
      </w:pPr>
      <w:r>
        <w:rPr>
          <w:rFonts w:ascii="Arial" w:hAnsi="Arial"/>
          <w:color w:val="282828"/>
          <w:sz w:val="20"/>
        </w:rPr>
        <w:t>5. Các nội dung khuyến khích:</w:t>
      </w:r>
    </w:p>
    <w:p>
      <w:pPr>
        <w:spacing w:after="80" w:line="276" w:lineRule="auto"/>
      </w:pPr>
      <w:r>
        <w:rPr>
          <w:rFonts w:ascii="Arial" w:hAnsi="Arial"/>
          <w:color w:val="282828"/>
          <w:sz w:val="20"/>
        </w:rPr>
        <w:t>a) Tiêu chí 11: Thành tích xuất sắc trong các kỳ thi, cuộc thi và rèn luyện.</w:t>
      </w:r>
    </w:p>
    <w:p>
      <w:pPr>
        <w:spacing w:after="80" w:line="276" w:lineRule="auto"/>
      </w:pPr>
      <w:r>
        <w:rPr>
          <w:rFonts w:ascii="Arial" w:hAnsi="Arial"/>
          <w:color w:val="282828"/>
          <w:sz w:val="20"/>
        </w:rPr>
        <w:t>b) Tiêu chí 12: Có tinh thần vượt khó, phấn đấu vươn lên trong học tập và cuộc sống.</w:t>
      </w:r>
    </w:p>
    <w:p>
      <w:pPr>
        <w:spacing w:after="80" w:line="276" w:lineRule="auto"/>
      </w:pPr>
      <w:r>
        <w:rPr>
          <w:rFonts w:ascii="Arial" w:hAnsi="Arial"/>
          <w:color w:val="282828"/>
          <w:sz w:val="20"/>
        </w:rPr>
        <w:t>c) Tiêu chí 13: Các trường hợp có hoàn cảnh đặc biệt.</w:t>
      </w:r>
    </w:p>
    <w:p>
      <w:pPr>
        <w:spacing w:before="120" w:after="40"/>
      </w:pPr>
      <w:r>
        <w:rPr>
          <w:rFonts w:ascii="Arial" w:hAnsi="Arial"/>
          <w:b/>
          <w:color w:val="1E4678"/>
          <w:sz w:val="22"/>
        </w:rPr>
        <w:t>Điều 6. Thời gian và cách tính kết quả</w:t>
      </w:r>
    </w:p>
    <w:p>
      <w:pPr>
        <w:spacing w:after="80" w:line="276" w:lineRule="auto"/>
      </w:pPr>
      <w:r>
        <w:rPr>
          <w:rFonts w:ascii="Arial" w:hAnsi="Arial"/>
          <w:color w:val="282828"/>
          <w:sz w:val="20"/>
        </w:rPr>
        <w:t>1. Việc đánh giá kết quả rèn luyện của sinh viên được tiến hành định kỳ theo học kỳ chính thức, năm học và toàn khóa học.</w:t>
      </w:r>
    </w:p>
    <w:p>
      <w:pPr>
        <w:spacing w:after="80" w:line="276" w:lineRule="auto"/>
      </w:pPr>
      <w:r>
        <w:rPr>
          <w:rFonts w:ascii="Arial" w:hAnsi="Arial"/>
          <w:color w:val="282828"/>
          <w:sz w:val="20"/>
        </w:rPr>
        <w:t>2. Điểm rèn luyện của năm học là trung bình cộng của điểm rèn luyện các học kỳ chính có đánh giá kết quả rèn luyện của năm học đó.</w:t>
      </w:r>
    </w:p>
    <w:p>
      <w:pPr>
        <w:spacing w:after="80" w:line="276" w:lineRule="auto"/>
      </w:pPr>
      <w:r>
        <w:rPr>
          <w:rFonts w:ascii="Arial" w:hAnsi="Arial"/>
          <w:color w:val="282828"/>
          <w:sz w:val="20"/>
        </w:rPr>
        <w:t>3. Điểm rèn luyện toàn khóa học là trung bình cộng của điểm rèn luyện các học kỳ chính có đánh giá kết quả rèn luyện của khóa học và được tính theo công thức:</w:t>
      </w:r>
    </w:p>
    <w:p>
      <w:pPr>
        <w:spacing w:after="80" w:line="276" w:lineRule="auto"/>
      </w:pPr>
      <w:r>
        <w:rPr>
          <w:rFonts w:ascii="Arial" w:hAnsi="Arial"/>
          <w:color w:val="282828"/>
          <w:sz w:val="20"/>
        </w:rPr>
        <w:t>Trong đó:</w:t>
      </w:r>
    </w:p>
    <w:p>
      <w:pPr>
        <w:spacing w:after="80" w:line="276" w:lineRule="auto"/>
      </w:pPr>
      <w:r>
        <w:rPr>
          <w:rFonts w:ascii="Arial" w:hAnsi="Arial"/>
          <w:color w:val="282828"/>
          <w:sz w:val="20"/>
        </w:rPr>
        <w:t>R là điểm rèn luyện toàn khóa.</w:t>
      </w:r>
    </w:p>
    <w:p>
      <w:pPr>
        <w:spacing w:after="80" w:line="276" w:lineRule="auto"/>
      </w:pPr>
      <w:r>
        <w:rPr>
          <w:rFonts w:ascii="Arial" w:hAnsi="Arial"/>
          <w:color w:val="282828"/>
          <w:sz w:val="20"/>
        </w:rPr>
        <w:t>ri là điểm rèn luyện của các học kỳ chính có đánh giá kết quả rèn luyện.</w:t>
      </w:r>
    </w:p>
    <w:p>
      <w:pPr>
        <w:spacing w:after="80" w:line="276" w:lineRule="auto"/>
      </w:pPr>
      <w:r>
        <w:rPr>
          <w:rFonts w:ascii="Arial" w:hAnsi="Arial"/>
          <w:color w:val="282828"/>
          <w:sz w:val="20"/>
        </w:rPr>
        <w:t>N là tổng số học kỳ chính có đánh giá kết quả rèn luyện.</w:t>
      </w:r>
    </w:p>
    <w:p>
      <w:pPr>
        <w:spacing w:after="80" w:line="276" w:lineRule="auto"/>
      </w:pPr>
      <w:r>
        <w:rPr>
          <w:rFonts w:ascii="Arial" w:hAnsi="Arial"/>
          <w:color w:val="282828"/>
          <w:sz w:val="20"/>
        </w:rPr>
        <w:t>Chương III</w:t>
      </w:r>
    </w:p>
    <w:p>
      <w:pPr>
        <w:spacing w:before="120" w:after="40"/>
      </w:pPr>
      <w:r>
        <w:rPr>
          <w:rFonts w:ascii="Arial" w:hAnsi="Arial"/>
          <w:b/>
          <w:color w:val="1E4678"/>
          <w:sz w:val="22"/>
        </w:rPr>
        <w:t>PHÂN LOẠI KẾT QUẢ RÈN LUYỆN</w:t>
      </w:r>
    </w:p>
    <w:p>
      <w:pPr>
        <w:spacing w:before="120" w:after="40"/>
      </w:pPr>
      <w:r>
        <w:rPr>
          <w:rFonts w:ascii="Arial" w:hAnsi="Arial"/>
          <w:b/>
          <w:color w:val="1E4678"/>
          <w:sz w:val="22"/>
        </w:rPr>
        <w:t>Điều 7. Phân loại kết quả rèn luyện</w:t>
      </w:r>
    </w:p>
    <w:p>
      <w:pPr>
        <w:spacing w:after="80" w:line="276" w:lineRule="auto"/>
      </w:pPr>
      <w:r>
        <w:rPr>
          <w:rFonts w:ascii="Arial" w:hAnsi="Arial"/>
          <w:color w:val="282828"/>
          <w:sz w:val="20"/>
        </w:rPr>
        <w:t>1.  Kết quả rèn luyện được phân thành các loại: Xuất sắc, Tốt, Khá, Trung bình, Yếu và Kém.</w:t>
      </w:r>
    </w:p>
    <w:p>
      <w:pPr>
        <w:spacing w:after="80" w:line="276" w:lineRule="auto"/>
      </w:pPr>
      <w:r>
        <w:rPr>
          <w:rFonts w:ascii="Arial" w:hAnsi="Arial"/>
          <w:color w:val="282828"/>
          <w:sz w:val="20"/>
        </w:rPr>
        <w:t>2.  Phân loại kết quả rèn luyện:</w:t>
      </w:r>
    </w:p>
    <w:p>
      <w:pPr>
        <w:spacing w:after="80" w:line="276" w:lineRule="auto"/>
      </w:pPr>
      <w:r>
        <w:rPr>
          <w:rFonts w:ascii="Arial" w:hAnsi="Arial"/>
          <w:color w:val="282828"/>
          <w:sz w:val="20"/>
        </w:rPr>
        <w:t>a) Từ 90 đến 100 điểm: loại Xuất sắc.</w:t>
      </w:r>
    </w:p>
    <w:p>
      <w:pPr>
        <w:spacing w:after="80" w:line="276" w:lineRule="auto"/>
      </w:pPr>
      <w:r>
        <w:rPr>
          <w:rFonts w:ascii="Arial" w:hAnsi="Arial"/>
          <w:color w:val="282828"/>
          <w:sz w:val="20"/>
        </w:rPr>
        <w:t>b) Từ 80 đến 89 điểm: loại Tốt.</w:t>
      </w:r>
    </w:p>
    <w:p>
      <w:pPr>
        <w:spacing w:after="80" w:line="276" w:lineRule="auto"/>
      </w:pPr>
      <w:r>
        <w:rPr>
          <w:rFonts w:ascii="Arial" w:hAnsi="Arial"/>
          <w:color w:val="282828"/>
          <w:sz w:val="20"/>
        </w:rPr>
        <w:t>c) Từ 65 đến 79 điểm: loại Khá.</w:t>
      </w:r>
    </w:p>
    <w:p>
      <w:pPr>
        <w:spacing w:after="80" w:line="276" w:lineRule="auto"/>
      </w:pPr>
      <w:r>
        <w:rPr>
          <w:rFonts w:ascii="Arial" w:hAnsi="Arial"/>
          <w:color w:val="282828"/>
          <w:sz w:val="20"/>
        </w:rPr>
        <w:t>d) Từ 50 đến 64 điểm: loại Trung bình.</w:t>
      </w:r>
    </w:p>
    <w:p>
      <w:pPr>
        <w:spacing w:after="80" w:line="276" w:lineRule="auto"/>
      </w:pPr>
      <w:r>
        <w:rPr>
          <w:rFonts w:ascii="Arial" w:hAnsi="Arial"/>
          <w:color w:val="282828"/>
          <w:sz w:val="20"/>
        </w:rPr>
        <w:t>e) Từ 35 đến 49 điểm: loại Yếu.</w:t>
      </w:r>
    </w:p>
    <w:p>
      <w:pPr>
        <w:spacing w:after="80" w:line="276" w:lineRule="auto"/>
      </w:pPr>
      <w:r>
        <w:rPr>
          <w:rFonts w:ascii="Arial" w:hAnsi="Arial"/>
          <w:color w:val="282828"/>
          <w:sz w:val="20"/>
        </w:rPr>
        <w:t>Dưới 35 điểm: loại Kém.</w:t>
      </w:r>
    </w:p>
    <w:p>
      <w:pPr>
        <w:spacing w:before="120" w:after="40"/>
      </w:pPr>
      <w:r>
        <w:rPr>
          <w:rFonts w:ascii="Arial" w:hAnsi="Arial"/>
          <w:b/>
          <w:color w:val="1E4678"/>
          <w:sz w:val="22"/>
        </w:rPr>
        <w:t>Điều 8. Phân loại sinh viên để đánh giá</w:t>
      </w:r>
    </w:p>
    <w:p>
      <w:pPr>
        <w:spacing w:after="80" w:line="276" w:lineRule="auto"/>
      </w:pPr>
      <w:r>
        <w:rPr>
          <w:rFonts w:ascii="Arial" w:hAnsi="Arial"/>
          <w:color w:val="282828"/>
          <w:sz w:val="20"/>
        </w:rPr>
        <w:t>1. Trong thời gian sinh viên bị kỷ luật mức khiển trách, kết quả rèn luyện không được vượt quá loại Khá.</w:t>
      </w:r>
    </w:p>
    <w:p>
      <w:pPr>
        <w:spacing w:after="80" w:line="276" w:lineRule="auto"/>
      </w:pPr>
      <w:r>
        <w:rPr>
          <w:rFonts w:ascii="Arial" w:hAnsi="Arial"/>
          <w:color w:val="282828"/>
          <w:sz w:val="20"/>
        </w:rPr>
        <w:t>2. Trong thời gian sinh viên bị kỷ luật mức cảnh cáo, kết quả rèn luyện không được vượt quá loại Trung bình.</w:t>
      </w:r>
    </w:p>
    <w:p>
      <w:pPr>
        <w:spacing w:after="80" w:line="276" w:lineRule="auto"/>
      </w:pPr>
      <w:r>
        <w:rPr>
          <w:rFonts w:ascii="Arial" w:hAnsi="Arial"/>
          <w:color w:val="282828"/>
          <w:sz w:val="20"/>
        </w:rPr>
        <w:t>3. Sinh viên bị kỷ luật mức đình chỉ học tập không được đánh giá rèn luyện trong thời gian bị đình chỉ.</w:t>
      </w:r>
    </w:p>
    <w:p>
      <w:pPr>
        <w:spacing w:after="80" w:line="276" w:lineRule="auto"/>
      </w:pPr>
      <w:r>
        <w:rPr>
          <w:rFonts w:ascii="Arial" w:hAnsi="Arial"/>
          <w:color w:val="282828"/>
          <w:sz w:val="20"/>
        </w:rPr>
        <w:t>4. Sinh viên bị kỷ luật mức buộc thôi học không được đánh giá kết quả rèn luyện.</w:t>
      </w:r>
    </w:p>
    <w:p>
      <w:pPr>
        <w:spacing w:after="80" w:line="276" w:lineRule="auto"/>
      </w:pPr>
      <w:r>
        <w:rPr>
          <w:rFonts w:ascii="Arial" w:hAnsi="Arial"/>
          <w:color w:val="282828"/>
          <w:sz w:val="20"/>
        </w:rPr>
        <w:t>5. Sinh viên nghỉ học tạm thời hoặc sinh viên còn đang trong thời gian đào tạo nhưng không đăng ký học phần thì kết quả rèn luyện trong học kỳ đó được xếp loại Trung bình (50 điểm).</w:t>
      </w:r>
    </w:p>
    <w:p>
      <w:pPr>
        <w:spacing w:after="80" w:line="276" w:lineRule="auto"/>
      </w:pPr>
      <w:r>
        <w:rPr>
          <w:rFonts w:ascii="Arial" w:hAnsi="Arial"/>
          <w:color w:val="282828"/>
          <w:sz w:val="20"/>
        </w:rPr>
        <w:t>6. Sinh viên đồng thời học hai chương trình đào tạo sẽ được đánh giá kết quả rèn luyện tại đơn vị quản lý chương trình thứ nhất và lấy ý kiến nhận xét của đơn vị quản lý chương trình thứ hai làm căn cứ, cơ sở để đánh giá thêm. Trường hợp chương trình thứ nhất đã hoàn thành thì đơn vị quản lý chương trình thứ hai sẽ tiếp tục được đánh giá kết quả rèn luyện của người học.</w:t>
      </w:r>
    </w:p>
    <w:p>
      <w:pPr>
        <w:spacing w:after="80" w:line="276" w:lineRule="auto"/>
      </w:pPr>
      <w:r>
        <w:rPr>
          <w:rFonts w:ascii="Arial" w:hAnsi="Arial"/>
          <w:color w:val="282828"/>
          <w:sz w:val="20"/>
        </w:rPr>
        <w:t>7. Sinh viên chuyển trường được sự đồng ý của Hiệu trưởng hai cơ sở đào tạo thì được bảo lưu kết quả rèn luyện của cơ sở đào tạo cũ khi học tại cơ sở đào tạo mới và tiếp tục được đánh giá kết quả rèn luyện ở các học kỳ tiếp theo.</w:t>
      </w:r>
    </w:p>
    <w:p>
      <w:pPr>
        <w:spacing w:after="80" w:line="276" w:lineRule="auto"/>
      </w:pPr>
      <w:r>
        <w:rPr>
          <w:rFonts w:ascii="Arial" w:hAnsi="Arial"/>
          <w:color w:val="282828"/>
          <w:sz w:val="20"/>
        </w:rPr>
        <w:t>8. Sinh viên tốt nghiệp trễ tiến độ nếu không vi phạm pháp luật và bị kỷ luật thì không áp dụng tính Điểm trừ trong học kỳ trễ tiến độ. Sinh viên đã hoàn tất chương trình đào tạo nhưng chưa đủ điều kiện tốt nghiệp thì không đánh giá kết quả rèn luyện.</w:t>
      </w:r>
    </w:p>
    <w:p>
      <w:pPr>
        <w:spacing w:after="80" w:line="276" w:lineRule="auto"/>
      </w:pPr>
      <w:r>
        <w:rPr>
          <w:rFonts w:ascii="Arial" w:hAnsi="Arial"/>
          <w:color w:val="282828"/>
          <w:sz w:val="20"/>
        </w:rPr>
        <w:t>9. Sinh viên khuyết tật hoặc mồ côi (cả cha lẫn mẹ hoặc cha hoặc mẹ), hoàn cảnh gia đình đặc biệt khó khăn có xác nhận của địa phương không có khả năng tham gia hoặc không đáp ứng yêu cầu chung các hoạt động rèn luyện thì được ưu tiên, khuyến khích, cộng điểm khi đánh giá kết quả rèn luyện.</w:t>
      </w:r>
    </w:p>
    <w:p>
      <w:pPr>
        <w:spacing w:after="80" w:line="276" w:lineRule="auto"/>
      </w:pPr>
      <w:r>
        <w:rPr>
          <w:rFonts w:ascii="Arial" w:hAnsi="Arial"/>
          <w:color w:val="282828"/>
          <w:sz w:val="20"/>
        </w:rPr>
        <w:t>10. Sinh viên đạt thủ khoa đầu ra toàn khóa của các ngành sẽ được cộng 10 điểm vào điểm rèn luyện toàn khóa học nếu như không vi phạm kỷ luật trong toàn bộ quá trình học.</w:t>
      </w:r>
    </w:p>
    <w:p>
      <w:pPr>
        <w:spacing w:after="80" w:line="276" w:lineRule="auto"/>
      </w:pPr>
      <w:r>
        <w:rPr>
          <w:rFonts w:ascii="Arial" w:hAnsi="Arial"/>
          <w:color w:val="282828"/>
          <w:sz w:val="20"/>
        </w:rPr>
        <w:t>11. Sinh viên đạt giải trong các kỳ thi cấp Quốc gia trở lên sẽ được cộng 5 điểm vào điểm rèn luyện toàn khóa học nếu như không vi phạm nội quy, quy chế hoặc bị kỷ luật trong toàn bộ quá trình học.</w:t>
      </w:r>
    </w:p>
    <w:p>
      <w:pPr>
        <w:spacing w:after="80" w:line="276" w:lineRule="auto"/>
      </w:pPr>
      <w:r>
        <w:rPr>
          <w:rFonts w:ascii="Arial" w:hAnsi="Arial"/>
          <w:color w:val="282828"/>
          <w:sz w:val="20"/>
        </w:rPr>
        <w:t>12. Các trường hợp đặc biệt khác Hội đồng đánh giá cấp Trường sẽ xem xét và quyết định cụ thể.</w:t>
      </w:r>
    </w:p>
    <w:p>
      <w:pPr>
        <w:spacing w:after="80" w:line="276" w:lineRule="auto"/>
      </w:pPr>
      <w:r>
        <w:rPr>
          <w:rFonts w:ascii="Arial" w:hAnsi="Arial"/>
          <w:color w:val="282828"/>
          <w:sz w:val="20"/>
        </w:rPr>
        <w:t>Chương IV</w:t>
      </w:r>
    </w:p>
    <w:p>
      <w:pPr>
        <w:spacing w:before="120" w:after="40"/>
      </w:pPr>
      <w:r>
        <w:rPr>
          <w:rFonts w:ascii="Arial" w:hAnsi="Arial"/>
          <w:b/>
          <w:color w:val="1E4678"/>
          <w:sz w:val="22"/>
        </w:rPr>
        <w:t>TỔ CHỨC ĐÁNH GIÁ VÀ SỬ DỤNG KẾT QUẢ ĐÁNH GIÁ</w:t>
      </w:r>
    </w:p>
    <w:p>
      <w:pPr>
        <w:spacing w:before="120" w:after="40"/>
      </w:pPr>
      <w:r>
        <w:rPr>
          <w:rFonts w:ascii="Arial" w:hAnsi="Arial"/>
          <w:b/>
          <w:color w:val="1E4678"/>
          <w:sz w:val="22"/>
        </w:rPr>
        <w:t>Điều 9. Quy trình đánh giá kết quả rèn luyện</w:t>
      </w:r>
    </w:p>
    <w:p>
      <w:pPr>
        <w:spacing w:after="80" w:line="276" w:lineRule="auto"/>
      </w:pPr>
      <w:r>
        <w:rPr>
          <w:rFonts w:ascii="Arial" w:hAnsi="Arial"/>
          <w:color w:val="282828"/>
          <w:sz w:val="20"/>
        </w:rPr>
        <w:t>1. Vào đầu mỗi năm học, Phòng Công tác Sinh viên xây dựng kế hoạch và phổ biến công tác đánh giá kết quả rèn luyện của sinh viên đến các Khoa, Đoàn thanh niên và Hội Sinh viên.</w:t>
      </w:r>
    </w:p>
    <w:p>
      <w:pPr>
        <w:spacing w:after="80" w:line="276" w:lineRule="auto"/>
      </w:pPr>
      <w:r>
        <w:rPr>
          <w:rFonts w:ascii="Arial" w:hAnsi="Arial"/>
          <w:color w:val="282828"/>
          <w:sz w:val="20"/>
        </w:rPr>
        <w:t>2. Trong mỗi học kỳ, sinh viên căn cứ vào kết quả rèn luyện của bản thân, tự đánh giá theo mức điểm chi tiết tại Phụ lục ban hành kèm theo Quy chế này.</w:t>
      </w:r>
    </w:p>
    <w:p>
      <w:pPr>
        <w:spacing w:after="80" w:line="276" w:lineRule="auto"/>
      </w:pPr>
      <w:r>
        <w:rPr>
          <w:rFonts w:ascii="Arial" w:hAnsi="Arial"/>
          <w:color w:val="282828"/>
          <w:sz w:val="20"/>
        </w:rPr>
        <w:t>3. Vào cuối mỗi tháng và cuối mỗi học kỳ, các Khoa, Đoàn thanh niên và Hội Sinh viên tiến hành cập nhật các thành tích của sinh viên, danh sách sinh viên tham gia các sự kiện, chương trình, hoạt động do đơn vị chịu trách nhiệm tổ chức theo phương thức đã thống nhất với Phòng Công tác Sinh viên.</w:t>
      </w:r>
    </w:p>
    <w:p>
      <w:pPr>
        <w:spacing w:after="80" w:line="276" w:lineRule="auto"/>
      </w:pPr>
      <w:r>
        <w:rPr>
          <w:rFonts w:ascii="Arial" w:hAnsi="Arial"/>
          <w:color w:val="282828"/>
          <w:sz w:val="20"/>
        </w:rPr>
        <w:t>4. Phòng Công tác Sinh viên công bố kết quả rèn luyện dự kiến của học kỳ đánh giá qua hộp thư điện tử của sinh viên và tiếp nhận phản hồi, cập nhật minh chứng, đề nghị điều chỉnh trong vòng 15 ngày kể từ thời điểm công bố, đồng thời gửi kết quả của sinh viên trước và sau điều chỉnh đến Hội đồng đánh giá kết quả rèn luyện cấp Khoa.</w:t>
      </w:r>
    </w:p>
    <w:p>
      <w:pPr>
        <w:spacing w:after="80" w:line="276" w:lineRule="auto"/>
      </w:pPr>
      <w:r>
        <w:rPr>
          <w:rFonts w:ascii="Arial" w:hAnsi="Arial"/>
          <w:color w:val="282828"/>
          <w:sz w:val="20"/>
        </w:rPr>
        <w:t>5. Sau khi tiếp nhận phản hồi, đề nghị điều chỉnh, Phòng Công tác Sinh viên điều chỉnh, bổ sung kết quả rèn luyện theo quy định và trình Hội đồng đánh giá kết quả rèn luyện cấp Trường họp xét và thống nhất.</w:t>
      </w:r>
    </w:p>
    <w:p>
      <w:pPr>
        <w:spacing w:after="80" w:line="276" w:lineRule="auto"/>
      </w:pPr>
      <w:r>
        <w:rPr>
          <w:rFonts w:ascii="Arial" w:hAnsi="Arial"/>
          <w:color w:val="282828"/>
          <w:sz w:val="20"/>
        </w:rPr>
        <w:t>6. Phòng Công tác Sinh viên công bố kết quả rèn luyện chính thức qua hộp thư điện tử của sinh viên và cập nhật lên hồ sơ quản lý sinh viên, hệ thống theo dõi điểm rèn luyện sinh viên.</w:t>
      </w:r>
    </w:p>
    <w:p>
      <w:pPr>
        <w:spacing w:before="120" w:after="40"/>
      </w:pPr>
      <w:r>
        <w:rPr>
          <w:rFonts w:ascii="Arial" w:hAnsi="Arial"/>
          <w:b/>
          <w:color w:val="1E4678"/>
          <w:sz w:val="22"/>
        </w:rPr>
        <w:t>Điều 10. Hội đồng đánh giá kết quả rèn luyện</w:t>
      </w:r>
    </w:p>
    <w:p>
      <w:pPr>
        <w:spacing w:after="80" w:line="276" w:lineRule="auto"/>
      </w:pPr>
      <w:r>
        <w:rPr>
          <w:rFonts w:ascii="Arial" w:hAnsi="Arial"/>
          <w:color w:val="282828"/>
          <w:sz w:val="20"/>
        </w:rPr>
        <w:t>1. Thành phần Hội đồng cấp Trường:</w:t>
      </w:r>
    </w:p>
    <w:p>
      <w:pPr>
        <w:spacing w:after="80" w:line="276" w:lineRule="auto"/>
      </w:pPr>
      <w:r>
        <w:rPr>
          <w:rFonts w:ascii="Arial" w:hAnsi="Arial"/>
          <w:color w:val="282828"/>
          <w:sz w:val="20"/>
        </w:rPr>
        <w:t>a) Chủ tịch Hội đồng: Hiệu trưởng hoặc Phó Hiệu trưởng được Hiệu trưởng uỷ quyền.</w:t>
      </w:r>
    </w:p>
    <w:p>
      <w:pPr>
        <w:spacing w:after="80" w:line="276" w:lineRule="auto"/>
      </w:pPr>
      <w:r>
        <w:rPr>
          <w:rFonts w:ascii="Arial" w:hAnsi="Arial"/>
          <w:color w:val="282828"/>
          <w:sz w:val="20"/>
        </w:rPr>
        <w:t>b) Thường trực Hội đồng: Trưởng phòng Công tác Sinh viên.</w:t>
      </w:r>
    </w:p>
    <w:p>
      <w:pPr>
        <w:spacing w:after="80" w:line="276" w:lineRule="auto"/>
      </w:pPr>
      <w:r>
        <w:rPr>
          <w:rFonts w:ascii="Arial" w:hAnsi="Arial"/>
          <w:color w:val="282828"/>
          <w:sz w:val="20"/>
        </w:rPr>
        <w:t>c) Các uỷ viên: Đại diện Hội đồng đánh giá rèn luyện các Khoa, Lãnh đạo Phòng đào tạo, Thường trực Đoàn thanh niên và Thường trực Hội sinh viên trường.</w:t>
      </w:r>
    </w:p>
    <w:p>
      <w:pPr>
        <w:spacing w:after="80" w:line="276" w:lineRule="auto"/>
      </w:pPr>
      <w:r>
        <w:rPr>
          <w:rFonts w:ascii="Arial" w:hAnsi="Arial"/>
          <w:color w:val="282828"/>
          <w:sz w:val="20"/>
        </w:rPr>
        <w:t>2. Nhiệm vụ của Hội đồng cấp Trường:</w:t>
      </w:r>
    </w:p>
    <w:p>
      <w:pPr>
        <w:spacing w:after="80" w:line="276" w:lineRule="auto"/>
      </w:pPr>
      <w:r>
        <w:rPr>
          <w:rFonts w:ascii="Arial" w:hAnsi="Arial"/>
          <w:color w:val="282828"/>
          <w:sz w:val="20"/>
        </w:rPr>
        <w:t>a) Tư vấn giúp Hiệu trưởng xem xét, công nhận kết quả rèn luyện của từng sinh viên và chịu sự chỉ đạo trực tiếp của Hiệu trưởng.</w:t>
      </w:r>
    </w:p>
    <w:p>
      <w:pPr>
        <w:spacing w:after="80" w:line="276" w:lineRule="auto"/>
      </w:pPr>
      <w:r>
        <w:rPr>
          <w:rFonts w:ascii="Arial" w:hAnsi="Arial"/>
          <w:color w:val="282828"/>
          <w:sz w:val="20"/>
        </w:rPr>
        <w:t>b) Căn cứ vào các quy định hiện hành, trên cơ sở đề nghị của các Khoa tiến hành xem xét, đánh giá kết quả rèn luyện của sinh viên, đề nghị Hiệu trưởng công nhận.</w:t>
      </w:r>
    </w:p>
    <w:p>
      <w:pPr>
        <w:spacing w:after="80" w:line="276" w:lineRule="auto"/>
      </w:pPr>
      <w:r>
        <w:rPr>
          <w:rFonts w:ascii="Arial" w:hAnsi="Arial"/>
          <w:color w:val="282828"/>
          <w:sz w:val="20"/>
        </w:rPr>
        <w:t>3. Thành phần Hội đồng cấp Khoa gồm:</w:t>
      </w:r>
    </w:p>
    <w:p>
      <w:pPr>
        <w:spacing w:after="80" w:line="276" w:lineRule="auto"/>
      </w:pPr>
      <w:r>
        <w:rPr>
          <w:rFonts w:ascii="Arial" w:hAnsi="Arial"/>
          <w:color w:val="282828"/>
          <w:sz w:val="20"/>
        </w:rPr>
        <w:t>a) Chủ tịch Hội đồng: Trưởng khoa hoặc Phó trưởng khoa được Trưởng khoa uỷ quyền.</w:t>
      </w:r>
    </w:p>
    <w:p>
      <w:pPr>
        <w:spacing w:after="80" w:line="276" w:lineRule="auto"/>
      </w:pPr>
      <w:r>
        <w:rPr>
          <w:rFonts w:ascii="Arial" w:hAnsi="Arial"/>
          <w:color w:val="282828"/>
          <w:sz w:val="20"/>
        </w:rPr>
        <w:t>b) Các uỷ viên: Trợ lý sinh viên, giáo viên chủ nhiệm, đại diện Ban chấp hành Đoàn thanh niên, Hội Sinh viên cấp khoa và đại diện Ban cán sự các lớp.</w:t>
      </w:r>
    </w:p>
    <w:p>
      <w:pPr>
        <w:spacing w:after="80" w:line="276" w:lineRule="auto"/>
      </w:pPr>
      <w:r>
        <w:rPr>
          <w:rFonts w:ascii="Arial" w:hAnsi="Arial"/>
          <w:color w:val="282828"/>
          <w:sz w:val="20"/>
        </w:rPr>
        <w:t>4. Nhiệm vụ của Hội đồng cấp Khoa:</w:t>
      </w:r>
    </w:p>
    <w:p>
      <w:pPr>
        <w:spacing w:after="80" w:line="276" w:lineRule="auto"/>
      </w:pPr>
      <w:r>
        <w:rPr>
          <w:rFonts w:ascii="Arial" w:hAnsi="Arial"/>
          <w:color w:val="282828"/>
          <w:sz w:val="20"/>
        </w:rPr>
        <w:t>a) Giúp Trưởng khoa xem xét, đánh giá chính xác, công bằng, công khai và dân chủ kết quả rèn luyện của từng sinh viên trong khoa.</w:t>
      </w:r>
    </w:p>
    <w:p>
      <w:pPr>
        <w:spacing w:after="80" w:line="276" w:lineRule="auto"/>
      </w:pPr>
      <w:r>
        <w:rPr>
          <w:rFonts w:ascii="Arial" w:hAnsi="Arial"/>
          <w:color w:val="282828"/>
          <w:sz w:val="20"/>
        </w:rPr>
        <w:t>b) Căn cứ vào quy định hiện hành, trên cơ sở đề nghị của các ủy viên, Hội đồng cấp Khoa tiến hành họp thống nhất kết quả rèn luyện của từng sinh viên trong Khoa và kiến nghị điều chỉnh điểm dự kiến nếu có, ủy quyền cho người đại diện Hội đồng đề nghị Hội đồng cấp Trường điều chỉnh và công nhận trong phiên họp Hội đồng cấp Trường.</w:t>
      </w:r>
    </w:p>
    <w:p>
      <w:pPr>
        <w:spacing w:before="120" w:after="40"/>
      </w:pPr>
      <w:r>
        <w:rPr>
          <w:rFonts w:ascii="Arial" w:hAnsi="Arial"/>
          <w:b/>
          <w:color w:val="1E4678"/>
          <w:sz w:val="22"/>
        </w:rPr>
        <w:t>Điều 11. Sử dụng kết quả</w:t>
      </w:r>
    </w:p>
    <w:p>
      <w:pPr>
        <w:spacing w:after="80" w:line="276" w:lineRule="auto"/>
      </w:pPr>
      <w:r>
        <w:rPr>
          <w:rFonts w:ascii="Arial" w:hAnsi="Arial"/>
          <w:color w:val="282828"/>
          <w:sz w:val="20"/>
        </w:rPr>
        <w:t>1. Kết quả đánh giá rèn luyện từng học kỳ, năm học của sinh viên được lưu trong hồ sơ quản lý sinh viên của Trường, được sử dụng trong công tác đảm bảo chất lượng, kiểm định chất lượng giáo dục; được sử dụng trong việc xét duyệt học bổng, xét khen thưởng – kỷ luật, xét thôi học, ngừng học, xét lưu trú ký túc xá, xét giải quyết việc làm thêm, xét miễn giảm chi phí, dịch vụ và sinh hoạt trong ký túc xá và các ưu tiên khác.</w:t>
      </w:r>
    </w:p>
    <w:p>
      <w:pPr>
        <w:spacing w:after="80" w:line="276" w:lineRule="auto"/>
      </w:pPr>
      <w:r>
        <w:rPr>
          <w:rFonts w:ascii="Arial" w:hAnsi="Arial"/>
          <w:color w:val="282828"/>
          <w:sz w:val="20"/>
        </w:rPr>
        <w:t>2. Kết quả đánh giá rèn luyện toàn khóa học được ghi chung vào bảng kiểm kết quả học tập và lưu trong hồ sơ của sinh viên khi tốt nghiệp ra trường.</w:t>
      </w:r>
    </w:p>
    <w:p>
      <w:pPr>
        <w:spacing w:after="80" w:line="276" w:lineRule="auto"/>
      </w:pPr>
      <w:r>
        <w:rPr>
          <w:rFonts w:ascii="Arial" w:hAnsi="Arial"/>
          <w:color w:val="282828"/>
          <w:sz w:val="20"/>
        </w:rPr>
        <w:t>3. Sinh viên có kết quả rèn luyện xuất sắc được Nhà trường xem xét biểu dương, khen thưởng và đề nghị tặng Bằng khen Giám đốc ĐHQG-HCM theo quy định tại Quy chế Thi đua, khen thưởng và Kỷ luật học sinh, sinh viên ĐHQG- HCM.</w:t>
      </w:r>
    </w:p>
    <w:p>
      <w:pPr>
        <w:spacing w:after="80" w:line="276" w:lineRule="auto"/>
      </w:pPr>
      <w:r>
        <w:rPr>
          <w:rFonts w:ascii="Arial" w:hAnsi="Arial"/>
          <w:color w:val="282828"/>
          <w:sz w:val="20"/>
        </w:rPr>
        <w:t>4. Sinh viên bị xếp loại rèn luyện yếu, kém trong hai học kỳ chính liên tiếp lần thứ nhất thì xem xét kỷ luật ở mức độ cảnh cáo và nếu bị xếp loại rèn luyện yếu hai học kỳ chính liên tiếp lần thứ hai sẽ bị buộc thôi học.</w:t>
      </w:r>
    </w:p>
    <w:p>
      <w:pPr>
        <w:spacing w:before="120" w:after="40"/>
      </w:pPr>
      <w:r>
        <w:rPr>
          <w:rFonts w:ascii="Arial" w:hAnsi="Arial"/>
          <w:b/>
          <w:color w:val="1E4678"/>
          <w:sz w:val="22"/>
        </w:rPr>
        <w:t>Điều 12. Quyền khiếu nại</w:t>
      </w:r>
    </w:p>
    <w:p>
      <w:pPr>
        <w:spacing w:after="80" w:line="276" w:lineRule="auto"/>
      </w:pPr>
      <w:r>
        <w:rPr>
          <w:rFonts w:ascii="Arial" w:hAnsi="Arial"/>
          <w:color w:val="282828"/>
          <w:sz w:val="20"/>
        </w:rPr>
        <w:t>Sinh viên có quyền khiếu nại về việc đánh giá kết quả rèn luyện. Việc khiếu nại được thực hiện theo quy định của pháp luật về khiếu nại và quy trình khiếu nại được ban hành của Trường.</w:t>
      </w:r>
    </w:p>
    <w:p>
      <w:pPr>
        <w:spacing w:after="80" w:line="276" w:lineRule="auto"/>
      </w:pPr>
      <w:r>
        <w:rPr>
          <w:rFonts w:ascii="Arial" w:hAnsi="Arial"/>
          <w:color w:val="282828"/>
          <w:sz w:val="20"/>
        </w:rPr>
        <w:t>Trường hợp khiếu nại điểm rèn luyện năm hoặc hoặc toàn khóa do có sai sót trong quá trình cập nhật điểm rèn luyện từng học kỳ khác so với điểm đã công bố chính thức, sinh viên phản hồi trực tiếp hoặc qua hộp thư điện tử</w:t>
      </w:r>
    </w:p>
    <w:tbl>
      <w:tblPr>
        <w:tblW w:type="auto" w:w="0"/>
        <w:jc w:val="center"/>
        <w:tblLook w:firstColumn="1" w:firstRow="1" w:lastColumn="0" w:lastRow="0" w:noHBand="0" w:noVBand="1" w:val="04A0"/>
      </w:tblPr>
      <w:tblGrid>
        <w:gridCol w:w="2412"/>
        <w:gridCol w:w="2412"/>
        <w:gridCol w:w="2412"/>
        <w:gridCol w:w="2412"/>
      </w:tblGrid>
      <w:tr>
        <w:tc>
          <w:tcPr>
            <w:tcW w:type="dxa" w:w="2412"/>
            <w:shd w:val="clear" w:color="auto" w:fill="1B365D"/>
            <w:tcMar>
              <w:top w:w="100" w:type="dxa"/>
              <w:bottom w:w="100" w:type="dxa"/>
              <w:left w:w="120" w:type="dxa"/>
              <w:right w:w="120" w:type="dxa"/>
            </w:tcMar>
          </w:tcPr>
          <w:p>
            <w:pPr>
              <w:jc w:val="center"/>
            </w:pPr>
            <w:r>
              <w:rPr>
                <w:rFonts w:ascii="Arial" w:hAnsi="Arial"/>
                <w:b/>
                <w:color w:val="FFFFFF"/>
                <w:sz w:val="19"/>
              </w:rPr>
              <w:t>Hạng Học Bổng KKHT</w:t>
            </w:r>
          </w:p>
        </w:tc>
        <w:tc>
          <w:tcPr>
            <w:tcW w:type="dxa" w:w="2412"/>
            <w:shd w:val="clear" w:color="auto" w:fill="1B365D"/>
            <w:tcMar>
              <w:top w:w="100" w:type="dxa"/>
              <w:bottom w:w="100" w:type="dxa"/>
              <w:left w:w="120" w:type="dxa"/>
              <w:right w:w="120" w:type="dxa"/>
            </w:tcMar>
          </w:tcPr>
          <w:p>
            <w:pPr>
              <w:jc w:val="center"/>
            </w:pPr>
            <w:r>
              <w:rPr>
                <w:rFonts w:ascii="Arial" w:hAnsi="Arial"/>
                <w:b/>
                <w:color w:val="FFFFFF"/>
                <w:sz w:val="19"/>
              </w:rPr>
              <w:t>Tiêu Chuẩn Điểm GPA Học Kỳ (Thang 10)</w:t>
            </w:r>
          </w:p>
        </w:tc>
        <w:tc>
          <w:tcPr>
            <w:tcW w:type="dxa" w:w="2412"/>
            <w:shd w:val="clear" w:color="auto" w:fill="1B365D"/>
            <w:tcMar>
              <w:top w:w="100" w:type="dxa"/>
              <w:bottom w:w="100" w:type="dxa"/>
              <w:left w:w="120" w:type="dxa"/>
              <w:right w:w="120" w:type="dxa"/>
            </w:tcMar>
          </w:tcPr>
          <w:p>
            <w:pPr>
              <w:jc w:val="center"/>
            </w:pPr>
            <w:r>
              <w:rPr>
                <w:rFonts w:ascii="Arial" w:hAnsi="Arial"/>
                <w:b/>
                <w:color w:val="FFFFFF"/>
                <w:sz w:val="19"/>
              </w:rPr>
              <w:t>Tiêu Chuẩn Điểm Rèn Luyện</w:t>
            </w:r>
          </w:p>
        </w:tc>
        <w:tc>
          <w:tcPr>
            <w:tcW w:type="dxa" w:w="2412"/>
            <w:shd w:val="clear" w:color="auto" w:fill="1B365D"/>
            <w:tcMar>
              <w:top w:w="100" w:type="dxa"/>
              <w:bottom w:w="100" w:type="dxa"/>
              <w:left w:w="120" w:type="dxa"/>
              <w:right w:w="120" w:type="dxa"/>
            </w:tcMar>
          </w:tcPr>
          <w:p>
            <w:pPr>
              <w:jc w:val="center"/>
            </w:pPr>
            <w:r>
              <w:rPr>
                <w:rFonts w:ascii="Arial" w:hAnsi="Arial"/>
                <w:b/>
                <w:color w:val="FFFFFF"/>
                <w:sz w:val="19"/>
              </w:rPr>
              <w:t>Mức Học Bổng Dự Kiến</w:t>
            </w:r>
          </w:p>
        </w:tc>
      </w:tr>
      <w:tr>
        <w:tc>
          <w:tcPr>
            <w:tcW w:type="dxa" w:w="2412"/>
            <w:shd w:val="clear" w:color="auto" w:fill="F2F5F9"/>
            <w:tcMar>
              <w:top w:w="100" w:type="dxa"/>
              <w:bottom w:w="100" w:type="dxa"/>
              <w:left w:w="120" w:type="dxa"/>
              <w:right w:w="120" w:type="dxa"/>
            </w:tcMar>
          </w:tcPr>
          <w:p>
            <w:r>
              <w:rPr>
                <w:rFonts w:ascii="Arial" w:hAnsi="Arial"/>
                <w:sz w:val="19"/>
              </w:rPr>
              <w:t>Xuất sắc</w:t>
            </w:r>
          </w:p>
        </w:tc>
        <w:tc>
          <w:tcPr>
            <w:tcW w:type="dxa" w:w="2412"/>
            <w:shd w:val="clear" w:color="auto" w:fill="F2F5F9"/>
            <w:tcMar>
              <w:top w:w="100" w:type="dxa"/>
              <w:bottom w:w="100" w:type="dxa"/>
              <w:left w:w="120" w:type="dxa"/>
              <w:right w:w="120" w:type="dxa"/>
            </w:tcMar>
          </w:tcPr>
          <w:p>
            <w:r>
              <w:rPr>
                <w:rFonts w:ascii="Arial" w:hAnsi="Arial"/>
                <w:sz w:val="19"/>
              </w:rPr>
              <w:t>GPA &gt;= 9,0 (Thang 10)</w:t>
            </w:r>
          </w:p>
        </w:tc>
        <w:tc>
          <w:tcPr>
            <w:tcW w:type="dxa" w:w="2412"/>
            <w:shd w:val="clear" w:color="auto" w:fill="F2F5F9"/>
            <w:tcMar>
              <w:top w:w="100" w:type="dxa"/>
              <w:bottom w:w="100" w:type="dxa"/>
              <w:left w:w="120" w:type="dxa"/>
              <w:right w:w="120" w:type="dxa"/>
            </w:tcMar>
          </w:tcPr>
          <w:p>
            <w:r>
              <w:rPr>
                <w:rFonts w:ascii="Arial" w:hAnsi="Arial"/>
                <w:sz w:val="19"/>
              </w:rPr>
              <w:t>DRL Xuất sắc (&gt;= 90 điểm)</w:t>
            </w:r>
          </w:p>
        </w:tc>
        <w:tc>
          <w:tcPr>
            <w:tcW w:type="dxa" w:w="2412"/>
            <w:shd w:val="clear" w:color="auto" w:fill="F2F5F9"/>
            <w:tcMar>
              <w:top w:w="100" w:type="dxa"/>
              <w:bottom w:w="100" w:type="dxa"/>
              <w:left w:w="120" w:type="dxa"/>
              <w:right w:w="120" w:type="dxa"/>
            </w:tcMar>
          </w:tcPr>
          <w:p>
            <w:r>
              <w:rPr>
                <w:rFonts w:ascii="Arial" w:hAnsi="Arial"/>
                <w:sz w:val="19"/>
              </w:rPr>
              <w:t>100% đến 120% mức học phí kỳ</w:t>
            </w:r>
          </w:p>
        </w:tc>
      </w:tr>
      <w:tr>
        <w:tc>
          <w:tcPr>
            <w:tcW w:type="dxa" w:w="2412"/>
            <w:tcMar>
              <w:top w:w="100" w:type="dxa"/>
              <w:bottom w:w="100" w:type="dxa"/>
              <w:left w:w="120" w:type="dxa"/>
              <w:right w:w="120" w:type="dxa"/>
            </w:tcMar>
          </w:tcPr>
          <w:p>
            <w:r>
              <w:rPr>
                <w:rFonts w:ascii="Arial" w:hAnsi="Arial"/>
                <w:sz w:val="19"/>
              </w:rPr>
              <w:t>Giỏi</w:t>
            </w:r>
          </w:p>
        </w:tc>
        <w:tc>
          <w:tcPr>
            <w:tcW w:type="dxa" w:w="2412"/>
            <w:tcMar>
              <w:top w:w="100" w:type="dxa"/>
              <w:bottom w:w="100" w:type="dxa"/>
              <w:left w:w="120" w:type="dxa"/>
              <w:right w:w="120" w:type="dxa"/>
            </w:tcMar>
          </w:tcPr>
          <w:p>
            <w:r>
              <w:rPr>
                <w:rFonts w:ascii="Arial" w:hAnsi="Arial"/>
                <w:sz w:val="19"/>
              </w:rPr>
              <w:t>GPA &gt;= 8,0 đến cận 9,0</w:t>
            </w:r>
          </w:p>
        </w:tc>
        <w:tc>
          <w:tcPr>
            <w:tcW w:type="dxa" w:w="2412"/>
            <w:tcMar>
              <w:top w:w="100" w:type="dxa"/>
              <w:bottom w:w="100" w:type="dxa"/>
              <w:left w:w="120" w:type="dxa"/>
              <w:right w:w="120" w:type="dxa"/>
            </w:tcMar>
          </w:tcPr>
          <w:p>
            <w:r>
              <w:rPr>
                <w:rFonts w:ascii="Arial" w:hAnsi="Arial"/>
                <w:sz w:val="19"/>
              </w:rPr>
              <w:t>DRL Tốt trở lên (&gt;= 80 điểm)</w:t>
            </w:r>
          </w:p>
        </w:tc>
        <w:tc>
          <w:tcPr>
            <w:tcW w:type="dxa" w:w="2412"/>
            <w:tcMar>
              <w:top w:w="100" w:type="dxa"/>
              <w:bottom w:w="100" w:type="dxa"/>
              <w:left w:w="120" w:type="dxa"/>
              <w:right w:w="120" w:type="dxa"/>
            </w:tcMar>
          </w:tcPr>
          <w:p>
            <w:r>
              <w:rPr>
                <w:rFonts w:ascii="Arial" w:hAnsi="Arial"/>
                <w:sz w:val="19"/>
              </w:rPr>
              <w:t>100% mức học phí kỳ</w:t>
            </w:r>
          </w:p>
        </w:tc>
      </w:tr>
      <w:tr>
        <w:tc>
          <w:tcPr>
            <w:tcW w:type="dxa" w:w="2412"/>
            <w:shd w:val="clear" w:color="auto" w:fill="F2F5F9"/>
            <w:tcMar>
              <w:top w:w="100" w:type="dxa"/>
              <w:bottom w:w="100" w:type="dxa"/>
              <w:left w:w="120" w:type="dxa"/>
              <w:right w:w="120" w:type="dxa"/>
            </w:tcMar>
          </w:tcPr>
          <w:p>
            <w:r>
              <w:rPr>
                <w:rFonts w:ascii="Arial" w:hAnsi="Arial"/>
                <w:sz w:val="19"/>
              </w:rPr>
              <w:t>Khá</w:t>
            </w:r>
          </w:p>
        </w:tc>
        <w:tc>
          <w:tcPr>
            <w:tcW w:type="dxa" w:w="2412"/>
            <w:shd w:val="clear" w:color="auto" w:fill="F2F5F9"/>
            <w:tcMar>
              <w:top w:w="100" w:type="dxa"/>
              <w:bottom w:w="100" w:type="dxa"/>
              <w:left w:w="120" w:type="dxa"/>
              <w:right w:w="120" w:type="dxa"/>
            </w:tcMar>
          </w:tcPr>
          <w:p>
            <w:r>
              <w:rPr>
                <w:rFonts w:ascii="Arial" w:hAnsi="Arial"/>
                <w:sz w:val="19"/>
              </w:rPr>
              <w:t>GPA &gt;= 7,0 đến cận 8,0</w:t>
            </w:r>
          </w:p>
        </w:tc>
        <w:tc>
          <w:tcPr>
            <w:tcW w:type="dxa" w:w="2412"/>
            <w:shd w:val="clear" w:color="auto" w:fill="F2F5F9"/>
            <w:tcMar>
              <w:top w:w="100" w:type="dxa"/>
              <w:bottom w:w="100" w:type="dxa"/>
              <w:left w:w="120" w:type="dxa"/>
              <w:right w:w="120" w:type="dxa"/>
            </w:tcMar>
          </w:tcPr>
          <w:p>
            <w:r>
              <w:rPr>
                <w:rFonts w:ascii="Arial" w:hAnsi="Arial"/>
                <w:sz w:val="19"/>
              </w:rPr>
              <w:t>DRL Khá trở lên (&gt;= 65 điểm)</w:t>
            </w:r>
          </w:p>
        </w:tc>
        <w:tc>
          <w:tcPr>
            <w:tcW w:type="dxa" w:w="2412"/>
            <w:shd w:val="clear" w:color="auto" w:fill="F2F5F9"/>
            <w:tcMar>
              <w:top w:w="100" w:type="dxa"/>
              <w:bottom w:w="100" w:type="dxa"/>
              <w:left w:w="120" w:type="dxa"/>
              <w:right w:w="120" w:type="dxa"/>
            </w:tcMar>
          </w:tcPr>
          <w:p>
            <w:r>
              <w:rPr>
                <w:rFonts w:ascii="Arial" w:hAnsi="Arial"/>
                <w:sz w:val="19"/>
              </w:rPr>
              <w:t>Theo quy chế quỹ học bổng</w:t>
            </w:r>
          </w:p>
        </w:tc>
      </w:tr>
    </w:tbl>
    <w:p/>
    <w:p>
      <w:pPr>
        <w:spacing w:before="200" w:after="80"/>
      </w:pPr>
      <w:r>
        <w:rPr>
          <w:rFonts w:ascii="Arial" w:hAnsi="Arial"/>
          <w:b/>
          <w:color w:val="003366"/>
          <w:sz w:val="25"/>
        </w:rPr>
        <w:t>PHẦN 6: CHÍNH SÁCH HỌC BỔNG KHUYẾN KHÍCH HỌC TẬP &amp; DANH MỤC ĐẦU MỐI</w:t>
      </w:r>
    </w:p>
    <w:p>
      <w:pPr>
        <w:spacing w:after="80" w:line="276" w:lineRule="auto"/>
      </w:pPr>
      <w:r>
        <w:rPr>
          <w:rFonts w:ascii="Arial" w:hAnsi="Arial"/>
          <w:color w:val="282828"/>
          <w:sz w:val="20"/>
        </w:rPr>
        <w:t>Trích lục Quy định về chính sách học bổng cho sinh viên và hệ thống hỗ trợ học vụ tại Trường ĐH KHTN.</w:t>
      </w:r>
    </w:p>
    <w:p>
      <w:pPr>
        <w:spacing w:before="120" w:after="40"/>
      </w:pPr>
      <w:r>
        <w:rPr>
          <w:rFonts w:ascii="Arial" w:hAnsi="Arial"/>
          <w:b/>
          <w:color w:val="1E4678"/>
          <w:sz w:val="22"/>
        </w:rPr>
        <w:t>QUY ĐỊNH</w:t>
      </w:r>
    </w:p>
    <w:p>
      <w:pPr>
        <w:spacing w:before="120" w:after="40"/>
      </w:pPr>
      <w:r>
        <w:rPr>
          <w:rFonts w:ascii="Arial" w:hAnsi="Arial"/>
          <w:b/>
          <w:color w:val="1E4678"/>
          <w:sz w:val="22"/>
        </w:rPr>
        <w:t>VỀ CHÍNH SÁCH HỌC BỔNG CHO SINH VIÊN</w:t>
      </w:r>
    </w:p>
    <w:p>
      <w:pPr>
        <w:spacing w:after="80" w:line="276" w:lineRule="auto"/>
      </w:pPr>
      <w:r>
        <w:rPr>
          <w:rFonts w:ascii="Arial" w:hAnsi="Arial"/>
          <w:color w:val="282828"/>
          <w:sz w:val="20"/>
        </w:rPr>
        <w:t>Bảng Tổng Hợp Tiêu Chuẩn Học Bổng Khuyến Khích Học Tập (KKHT) Danh Mục Phòng Ban Tiếp Nhận &amp; Xử Lý Học Vụ Điểm Số</w:t>
      </w:r>
    </w:p>
    <w:tbl>
      <w:tblPr>
        <w:tblW w:type="auto" w:w="0"/>
        <w:jc w:val="center"/>
        <w:tblLook w:firstColumn="1" w:firstRow="1" w:lastColumn="0" w:lastRow="0" w:noHBand="0" w:noVBand="1" w:val="04A0"/>
      </w:tblPr>
      <w:tblGrid>
        <w:gridCol w:w="2412"/>
        <w:gridCol w:w="2412"/>
        <w:gridCol w:w="2412"/>
        <w:gridCol w:w="2412"/>
      </w:tblGrid>
      <w:tr>
        <w:tc>
          <w:tcPr>
            <w:tcW w:type="dxa" w:w="2412"/>
            <w:shd w:val="clear" w:color="auto" w:fill="1B365D"/>
            <w:tcMar>
              <w:top w:w="100" w:type="dxa"/>
              <w:bottom w:w="100" w:type="dxa"/>
              <w:left w:w="120" w:type="dxa"/>
              <w:right w:w="120" w:type="dxa"/>
            </w:tcMar>
          </w:tcPr>
          <w:p>
            <w:pPr>
              <w:jc w:val="center"/>
            </w:pPr>
            <w:r>
              <w:rPr>
                <w:rFonts w:ascii="Arial" w:hAnsi="Arial"/>
                <w:b/>
                <w:color w:val="FFFFFF"/>
                <w:sz w:val="19"/>
              </w:rPr>
              <w:t>Đơn Vị Phụ Trách</w:t>
            </w:r>
          </w:p>
        </w:tc>
        <w:tc>
          <w:tcPr>
            <w:tcW w:type="dxa" w:w="2412"/>
            <w:shd w:val="clear" w:color="auto" w:fill="1B365D"/>
            <w:tcMar>
              <w:top w:w="100" w:type="dxa"/>
              <w:bottom w:w="100" w:type="dxa"/>
              <w:left w:w="120" w:type="dxa"/>
              <w:right w:w="120" w:type="dxa"/>
            </w:tcMar>
          </w:tcPr>
          <w:p>
            <w:pPr>
              <w:jc w:val="center"/>
            </w:pPr>
            <w:r>
              <w:rPr>
                <w:rFonts w:ascii="Arial" w:hAnsi="Arial"/>
                <w:b/>
                <w:color w:val="FFFFFF"/>
                <w:sz w:val="19"/>
              </w:rPr>
              <w:t>Địa Điểm Làm Việc</w:t>
            </w:r>
          </w:p>
        </w:tc>
        <w:tc>
          <w:tcPr>
            <w:tcW w:type="dxa" w:w="2412"/>
            <w:shd w:val="clear" w:color="auto" w:fill="1B365D"/>
            <w:tcMar>
              <w:top w:w="100" w:type="dxa"/>
              <w:bottom w:w="100" w:type="dxa"/>
              <w:left w:w="120" w:type="dxa"/>
              <w:right w:w="120" w:type="dxa"/>
            </w:tcMar>
          </w:tcPr>
          <w:p>
            <w:pPr>
              <w:jc w:val="center"/>
            </w:pPr>
            <w:r>
              <w:rPr>
                <w:rFonts w:ascii="Arial" w:hAnsi="Arial"/>
                <w:b/>
                <w:color w:val="FFFFFF"/>
                <w:sz w:val="19"/>
              </w:rPr>
              <w:t>Số Điện Thoại &amp; Email</w:t>
            </w:r>
          </w:p>
        </w:tc>
        <w:tc>
          <w:tcPr>
            <w:tcW w:type="dxa" w:w="2412"/>
            <w:shd w:val="clear" w:color="auto" w:fill="1B365D"/>
            <w:tcMar>
              <w:top w:w="100" w:type="dxa"/>
              <w:bottom w:w="100" w:type="dxa"/>
              <w:left w:w="120" w:type="dxa"/>
              <w:right w:w="120" w:type="dxa"/>
            </w:tcMar>
          </w:tcPr>
          <w:p>
            <w:pPr>
              <w:jc w:val="center"/>
            </w:pPr>
            <w:r>
              <w:rPr>
                <w:rFonts w:ascii="Arial" w:hAnsi="Arial"/>
                <w:b/>
                <w:color w:val="FFFFFF"/>
                <w:sz w:val="19"/>
              </w:rPr>
              <w:t>Nội Dung Tiếp Nhận Giải Quyết</w:t>
            </w:r>
          </w:p>
        </w:tc>
      </w:tr>
      <w:tr>
        <w:tc>
          <w:tcPr>
            <w:tcW w:type="dxa" w:w="2412"/>
            <w:shd w:val="clear" w:color="auto" w:fill="F2F5F9"/>
            <w:tcMar>
              <w:top w:w="100" w:type="dxa"/>
              <w:bottom w:w="100" w:type="dxa"/>
              <w:left w:w="120" w:type="dxa"/>
              <w:right w:w="120" w:type="dxa"/>
            </w:tcMar>
          </w:tcPr>
          <w:p>
            <w:r>
              <w:rPr>
                <w:rFonts w:ascii="Arial" w:hAnsi="Arial"/>
                <w:sz w:val="19"/>
              </w:rPr>
              <w:t>Phòng Đào tạo</w:t>
            </w:r>
          </w:p>
        </w:tc>
        <w:tc>
          <w:tcPr>
            <w:tcW w:type="dxa" w:w="2412"/>
            <w:shd w:val="clear" w:color="auto" w:fill="F2F5F9"/>
            <w:tcMar>
              <w:top w:w="100" w:type="dxa"/>
              <w:bottom w:w="100" w:type="dxa"/>
              <w:left w:w="120" w:type="dxa"/>
              <w:right w:w="120" w:type="dxa"/>
            </w:tcMar>
          </w:tcPr>
          <w:p>
            <w:r>
              <w:rPr>
                <w:rFonts w:ascii="Arial" w:hAnsi="Arial"/>
                <w:sz w:val="19"/>
              </w:rPr>
              <w:t>Phòng B.02 (Cơ sở 1)</w:t>
              <w:br/>
              <w:t>Phòng 2.4 (Cơ sở 2)</w:t>
            </w:r>
          </w:p>
        </w:tc>
        <w:tc>
          <w:tcPr>
            <w:tcW w:type="dxa" w:w="2412"/>
            <w:shd w:val="clear" w:color="auto" w:fill="F2F5F9"/>
            <w:tcMar>
              <w:top w:w="100" w:type="dxa"/>
              <w:bottom w:w="100" w:type="dxa"/>
              <w:left w:w="120" w:type="dxa"/>
              <w:right w:w="120" w:type="dxa"/>
            </w:tcMar>
          </w:tcPr>
          <w:p>
            <w:r>
              <w:rPr>
                <w:rFonts w:ascii="Arial" w:hAnsi="Arial"/>
                <w:sz w:val="19"/>
              </w:rPr>
              <w:t>(028) 62884499 ext 1200</w:t>
              <w:br/>
              <w:t>pdt_khtn@hcmus.edu.vn</w:t>
            </w:r>
          </w:p>
        </w:tc>
        <w:tc>
          <w:tcPr>
            <w:tcW w:type="dxa" w:w="2412"/>
            <w:shd w:val="clear" w:color="auto" w:fill="F2F5F9"/>
            <w:tcMar>
              <w:top w:w="100" w:type="dxa"/>
              <w:bottom w:w="100" w:type="dxa"/>
              <w:left w:w="120" w:type="dxa"/>
              <w:right w:w="120" w:type="dxa"/>
            </w:tcMar>
          </w:tcPr>
          <w:p>
            <w:r>
              <w:rPr>
                <w:rFonts w:ascii="Arial" w:hAnsi="Arial"/>
                <w:sz w:val="19"/>
              </w:rPr>
              <w:t>Bảng điểm chính thức, xử lý cảnh báo học vụ, đăng ký học phần, xét tốt nghiệp, cấp bằng.</w:t>
            </w:r>
          </w:p>
        </w:tc>
      </w:tr>
      <w:tr>
        <w:tc>
          <w:tcPr>
            <w:tcW w:type="dxa" w:w="2412"/>
            <w:tcMar>
              <w:top w:w="100" w:type="dxa"/>
              <w:bottom w:w="100" w:type="dxa"/>
              <w:left w:w="120" w:type="dxa"/>
              <w:right w:w="120" w:type="dxa"/>
            </w:tcMar>
          </w:tcPr>
          <w:p>
            <w:r>
              <w:rPr>
                <w:rFonts w:ascii="Arial" w:hAnsi="Arial"/>
                <w:sz w:val="19"/>
              </w:rPr>
              <w:t>Phòng Khảo thí &amp; ĐBCL</w:t>
            </w:r>
          </w:p>
        </w:tc>
        <w:tc>
          <w:tcPr>
            <w:tcW w:type="dxa" w:w="2412"/>
            <w:tcMar>
              <w:top w:w="100" w:type="dxa"/>
              <w:bottom w:w="100" w:type="dxa"/>
              <w:left w:w="120" w:type="dxa"/>
              <w:right w:w="120" w:type="dxa"/>
            </w:tcMar>
          </w:tcPr>
          <w:p>
            <w:r>
              <w:rPr>
                <w:rFonts w:ascii="Arial" w:hAnsi="Arial"/>
                <w:sz w:val="19"/>
              </w:rPr>
              <w:t>Phòng B.04 (Cơ sở 1)</w:t>
              <w:br/>
              <w:t>Phòng 2.5 (Cơ sở 2)</w:t>
            </w:r>
          </w:p>
        </w:tc>
        <w:tc>
          <w:tcPr>
            <w:tcW w:type="dxa" w:w="2412"/>
            <w:tcMar>
              <w:top w:w="100" w:type="dxa"/>
              <w:bottom w:w="100" w:type="dxa"/>
              <w:left w:w="120" w:type="dxa"/>
              <w:right w:w="120" w:type="dxa"/>
            </w:tcMar>
          </w:tcPr>
          <w:p>
            <w:r>
              <w:rPr>
                <w:rFonts w:ascii="Arial" w:hAnsi="Arial"/>
                <w:sz w:val="19"/>
              </w:rPr>
              <w:t>(028) 62884499 ext 3370 - 3371</w:t>
              <w:br/>
              <w:t>khaothi@hcmus.edu.vn</w:t>
            </w:r>
          </w:p>
        </w:tc>
        <w:tc>
          <w:tcPr>
            <w:tcW w:type="dxa" w:w="2412"/>
            <w:tcMar>
              <w:top w:w="100" w:type="dxa"/>
              <w:bottom w:w="100" w:type="dxa"/>
              <w:left w:w="120" w:type="dxa"/>
              <w:right w:w="120" w:type="dxa"/>
            </w:tcMar>
          </w:tcPr>
          <w:p>
            <w:r>
              <w:rPr>
                <w:rFonts w:ascii="Arial" w:hAnsi="Arial"/>
                <w:sz w:val="19"/>
              </w:rPr>
              <w:t>Lịch thi, phòng thi, đơn xin hoãn thi, phúc khảo điểm thi kết thúc học phần, khiếu nại điểm thi.</w:t>
            </w:r>
          </w:p>
        </w:tc>
      </w:tr>
      <w:tr>
        <w:tc>
          <w:tcPr>
            <w:tcW w:type="dxa" w:w="2412"/>
            <w:shd w:val="clear" w:color="auto" w:fill="F2F5F9"/>
            <w:tcMar>
              <w:top w:w="100" w:type="dxa"/>
              <w:bottom w:w="100" w:type="dxa"/>
              <w:left w:w="120" w:type="dxa"/>
              <w:right w:w="120" w:type="dxa"/>
            </w:tcMar>
          </w:tcPr>
          <w:p>
            <w:r>
              <w:rPr>
                <w:rFonts w:ascii="Arial" w:hAnsi="Arial"/>
                <w:sz w:val="19"/>
              </w:rPr>
              <w:t>Phòng Công tác Sinh viên</w:t>
            </w:r>
          </w:p>
        </w:tc>
        <w:tc>
          <w:tcPr>
            <w:tcW w:type="dxa" w:w="2412"/>
            <w:shd w:val="clear" w:color="auto" w:fill="F2F5F9"/>
            <w:tcMar>
              <w:top w:w="100" w:type="dxa"/>
              <w:bottom w:w="100" w:type="dxa"/>
              <w:left w:w="120" w:type="dxa"/>
              <w:right w:w="120" w:type="dxa"/>
            </w:tcMar>
          </w:tcPr>
          <w:p>
            <w:r>
              <w:rPr>
                <w:rFonts w:ascii="Arial" w:hAnsi="Arial"/>
                <w:sz w:val="19"/>
              </w:rPr>
              <w:t>Phòng A.02 (Cơ sở 1)</w:t>
              <w:br/>
              <w:t>Phòng 2.8 (Cơ sở 2)</w:t>
            </w:r>
          </w:p>
        </w:tc>
        <w:tc>
          <w:tcPr>
            <w:tcW w:type="dxa" w:w="2412"/>
            <w:shd w:val="clear" w:color="auto" w:fill="F2F5F9"/>
            <w:tcMar>
              <w:top w:w="100" w:type="dxa"/>
              <w:bottom w:w="100" w:type="dxa"/>
              <w:left w:w="120" w:type="dxa"/>
              <w:right w:w="120" w:type="dxa"/>
            </w:tcMar>
          </w:tcPr>
          <w:p>
            <w:r>
              <w:rPr>
                <w:rFonts w:ascii="Arial" w:hAnsi="Arial"/>
                <w:sz w:val="19"/>
              </w:rPr>
              <w:t>Hotline: 0968 918 018 (Phím 1)</w:t>
              <w:br/>
              <w:t>congtacsinhvien@hcmus.edu.vn</w:t>
            </w:r>
          </w:p>
        </w:tc>
        <w:tc>
          <w:tcPr>
            <w:tcW w:type="dxa" w:w="2412"/>
            <w:shd w:val="clear" w:color="auto" w:fill="F2F5F9"/>
            <w:tcMar>
              <w:top w:w="100" w:type="dxa"/>
              <w:bottom w:w="100" w:type="dxa"/>
              <w:left w:w="120" w:type="dxa"/>
              <w:right w:w="120" w:type="dxa"/>
            </w:tcMar>
          </w:tcPr>
          <w:p>
            <w:r>
              <w:rPr>
                <w:rFonts w:ascii="Arial" w:hAnsi="Arial"/>
                <w:sz w:val="19"/>
              </w:rPr>
              <w:t>Chấm và khiếu nại Điểm Rèn Luyện, Học bổng Khuyến khích Học tập, xử lý kỷ luật sinh viên.</w:t>
            </w:r>
          </w:p>
        </w:tc>
      </w:tr>
      <w:tr>
        <w:tc>
          <w:tcPr>
            <w:tcW w:type="dxa" w:w="2412"/>
            <w:tcMar>
              <w:top w:w="100" w:type="dxa"/>
              <w:bottom w:w="100" w:type="dxa"/>
              <w:left w:w="120" w:type="dxa"/>
              <w:right w:w="120" w:type="dxa"/>
            </w:tcMar>
          </w:tcPr>
          <w:p>
            <w:r>
              <w:rPr>
                <w:rFonts w:ascii="Arial" w:hAnsi="Arial"/>
                <w:sz w:val="19"/>
              </w:rPr>
              <w:t>Cố vấn Học tập Khoa</w:t>
            </w:r>
          </w:p>
        </w:tc>
        <w:tc>
          <w:tcPr>
            <w:tcW w:type="dxa" w:w="2412"/>
            <w:tcMar>
              <w:top w:w="100" w:type="dxa"/>
              <w:bottom w:w="100" w:type="dxa"/>
              <w:left w:w="120" w:type="dxa"/>
              <w:right w:w="120" w:type="dxa"/>
            </w:tcMar>
          </w:tcPr>
          <w:p>
            <w:r>
              <w:rPr>
                <w:rFonts w:ascii="Arial" w:hAnsi="Arial"/>
                <w:sz w:val="19"/>
              </w:rPr>
              <w:t>Văn phòng các Khoa</w:t>
            </w:r>
          </w:p>
        </w:tc>
        <w:tc>
          <w:tcPr>
            <w:tcW w:type="dxa" w:w="2412"/>
            <w:tcMar>
              <w:top w:w="100" w:type="dxa"/>
              <w:bottom w:w="100" w:type="dxa"/>
              <w:left w:w="120" w:type="dxa"/>
              <w:right w:w="120" w:type="dxa"/>
            </w:tcMar>
          </w:tcPr>
          <w:p>
            <w:r>
              <w:rPr>
                <w:rFonts w:ascii="Arial" w:hAnsi="Arial"/>
                <w:sz w:val="19"/>
              </w:rPr>
              <w:t>Theo danh bạ từng Khoa</w:t>
            </w:r>
          </w:p>
        </w:tc>
        <w:tc>
          <w:tcPr>
            <w:tcW w:type="dxa" w:w="2412"/>
            <w:tcMar>
              <w:top w:w="100" w:type="dxa"/>
              <w:bottom w:w="100" w:type="dxa"/>
              <w:left w:w="120" w:type="dxa"/>
              <w:right w:w="120" w:type="dxa"/>
            </w:tcMar>
          </w:tcPr>
          <w:p>
            <w:r>
              <w:rPr>
                <w:rFonts w:ascii="Arial" w:hAnsi="Arial"/>
                <w:sz w:val="19"/>
              </w:rPr>
              <w:t>Tư vấn lộ trình gỡ cảnh báo học vụ, chọn môn học lại/học cải thiện, kế hoạch tốt nghiệp.</w:t>
            </w:r>
          </w:p>
        </w:tc>
      </w:tr>
    </w:tbl>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