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32"/>
        </w:rPr>
        <w:t>TÀI LIỆU CƠ SỞ TRI THỨC CHUYÊN SÂU (MASTER KNOWLEDGE BASE)</w:t>
      </w:r>
    </w:p>
    <w:p>
      <w:pPr>
        <w:jc w:val="center"/>
      </w:pPr>
      <w:r>
        <w:rPr>
          <w:rFonts w:ascii="Arial" w:hAnsi="Arial"/>
          <w:i/>
          <w:color w:val="646464"/>
          <w:sz w:val="20"/>
        </w:rPr>
        <w:t>AGENT: LIBRARY &amp; RESEARCH DISCOVERY AGENT (KHAI THÁC THƯ VIỆN &amp; HỖ TRỢ NCKH)</w:t>
        <w:br/>
        <w:t>HCMUS Smart Campus – Sub-space 02: Student Services | Wesome AI Platform</w:t>
      </w:r>
    </w:p>
    <w:p/>
    <w:p>
      <w:pPr>
        <w:spacing w:after="80" w:line="276" w:lineRule="auto"/>
      </w:pPr>
      <w:r>
        <w:rPr>
          <w:rFonts w:ascii="Arial" w:hAnsi="Arial"/>
          <w:color w:val="282828"/>
          <w:sz w:val="20"/>
        </w:rPr>
        <w:t>TÀI LIỆU CƠ SỞ TRI THỨC BẬC CAO TOÀN DIỆN (ULTIMATE MASTER KNOWLEDGE BASE)</w:t>
        <w:br/>
        <w:t>KHAI THÁC THƯ VIỆN, CƠ SỞ DỮ LIỆU HỌC THUẬT SỐ, NGHIÊN CỨU KHOA HỌC &amp; LIÊM CHÍNH HCMUS SMART CAMPUS – SUB-SPACE 02: DỊCH VỤ &amp; ĐỜI SỐNG SINH VIÊN</w:t>
        <w:br/>
        <w:t>AGENT: LIBRARY &amp; RESEARCH DISCOVERY AGENT (library-research-agent)</w:t>
        <w:br/>
        <w:t>Nguồn tài liệu: Sổ tay Sinh viên 2025-2026, CSDL Thư viện Trung tâm ĐHQG-HCM, Quy chế Khảo thí &amp; NCKH</w:t>
      </w:r>
    </w:p>
    <w:p>
      <w:pPr>
        <w:spacing w:before="200" w:after="80"/>
      </w:pPr>
      <w:r>
        <w:rPr>
          <w:rFonts w:ascii="Arial" w:hAnsi="Arial"/>
          <w:b/>
          <w:color w:val="003366"/>
          <w:sz w:val="25"/>
        </w:rPr>
        <w:t>PHẦN 1: TỔNG QUAN HỆ THỐNG THƯ VIỆN TRƯỜNG ĐH KHTN &amp; ĐHQG-HCM</w:t>
      </w:r>
    </w:p>
    <w:p>
      <w:pPr>
        <w:spacing w:after="80" w:line="276" w:lineRule="auto"/>
      </w:pPr>
      <w:r>
        <w:rPr>
          <w:rFonts w:ascii="Arial" w:hAnsi="Arial"/>
          <w:color w:val="282828"/>
          <w:sz w:val="20"/>
        </w:rPr>
        <w:t>1.1 Không Gian Dịch Vụ Thư Viện Tại Hai Cơ Sở 1.2 Quy Chế Mượn - Trả Sách &amp; Gia Hạn Online Hạn mức mượn: Đối tượng sinh viên chính quy: Được mượn tối đa 03 - 05 cuốn sách giáo trình/tài liệu tham khảo mang về nhà cùng một lúc.</w:t>
      </w:r>
    </w:p>
    <w:p>
      <w:pPr>
        <w:spacing w:after="80" w:line="276" w:lineRule="auto"/>
      </w:pPr>
      <w:r>
        <w:rPr>
          <w:rFonts w:ascii="Arial" w:hAnsi="Arial"/>
          <w:color w:val="282828"/>
          <w:sz w:val="20"/>
        </w:rPr>
        <w:t>Thời gian mượn &amp; gia hạn: Thời hạn mượn: 14 ngày/lần mượn. Sinh viên được phép gia hạn online 01 lần thêm 07 ngày qua Cổng OPAC Thư viện nếu tài liệu đó chưa có người khác đặt trước.</w:t>
      </w:r>
    </w:p>
    <w:p>
      <w:pPr>
        <w:spacing w:after="80" w:line="276" w:lineRule="auto"/>
      </w:pPr>
      <w:r>
        <w:rPr>
          <w:rFonts w:ascii="Arial" w:hAnsi="Arial"/>
          <w:color w:val="282828"/>
          <w:sz w:val="20"/>
        </w:rPr>
        <w:t>Tài liệu hạn chế: Tài liệu đọc tại chỗ (Không mang về): Luận văn tốt nghiệp, luận án tiến sĩ, từ điển chuyên khảo, báo - tạp chí số mới nhất và sách quý hiếm chỉ được đọc tại phòng đọc.</w:t>
      </w:r>
    </w:p>
    <w:p>
      <w:pPr>
        <w:spacing w:after="80" w:line="276" w:lineRule="auto"/>
      </w:pPr>
      <w:r>
        <w:rPr>
          <w:rFonts w:ascii="Arial" w:hAnsi="Arial"/>
          <w:color w:val="282828"/>
          <w:sz w:val="20"/>
        </w:rPr>
        <w:t>Xử phạt &amp; Bồi thường: Xử lý trễ hạn &amp; bồi thường: Trả sách trễ hạn bị phạt phí theo ngày theo quy định thư viện. Làm mất sách hoặc hư hại: Bồi thường sách mới đúng ấn bản hoặc bồi thường gấp 2 - 3 lần giá trị bìa.</w:t>
      </w:r>
    </w:p>
    <w:p>
      <w:pPr>
        <w:spacing w:after="80" w:line="276" w:lineRule="auto"/>
      </w:pPr>
      <w:r>
        <w:rPr>
          <w:rFonts w:ascii="Arial" w:hAnsi="Arial"/>
          <w:color w:val="282828"/>
          <w:sz w:val="20"/>
        </w:rPr>
        <w:t>1.3 Quy Trình Đặt Phòng Học Nhóm Đa Phương Tiện (Lầu 10 Nhà I) Thư viện HCMUS trang bị hệ thống phòng học nhóm hiện đại (Group Study Rooms) phục vụ thảo luận bài tập lớn, đồ án và seminar. Quy trình đặt phòng:</w:t>
        <w:br/>
        <w:t>1. Đại diện nhóm đăng ký trước tối thiểu 24 giờ qua form trực tuyến trên website Thư viện (lib.hcmus.edu.vn) hoặc tại quầy thủ thư Lầu 9.</w:t>
        <w:br/>
        <w:t>2. Số lượng thành viên tối thiểu: Từ 03 đến 08 sinh viên/nhóm.</w:t>
        <w:br/>
        <w:t>3. Thời lượng sử dụng tối đa: 02 đến 03 giờ/ca học để đảm bảo công bằng cho các nhóm khác.</w:t>
        <w:br/>
        <w:t>4. Nhóm có trách nhiệm giữ gìn vệ sinh, tắt thiết bị điện (máy lạnh, màn hình TV) và bàn giao phòng cho thủ thư sau ca học.</w:t>
      </w:r>
    </w:p>
    <w:p>
      <w:pPr>
        <w:spacing w:before="200" w:after="80"/>
      </w:pPr>
      <w:r>
        <w:rPr>
          <w:rFonts w:ascii="Arial" w:hAnsi="Arial"/>
          <w:b/>
          <w:color w:val="003366"/>
          <w:sz w:val="25"/>
        </w:rPr>
        <w:t>PHẦN 2: CẨM NANG KHAI THÁC 15+ CƠ SỞ DỮ LIỆU HỌC THUẬT SỐ QUỐC TẾ</w:t>
      </w:r>
    </w:p>
    <w:p>
      <w:pPr>
        <w:spacing w:after="80" w:line="276" w:lineRule="auto"/>
      </w:pPr>
      <w:r>
        <w:rPr>
          <w:rFonts w:ascii="Arial" w:hAnsi="Arial"/>
          <w:color w:val="282828"/>
          <w:sz w:val="20"/>
        </w:rPr>
        <w:t>2.1 Danh Mục Các Cơ Sở Dữ Liệu Số Hàng Đầu Dành Cho Sinh Viên KHTN 2.2 Hướng Dẫn Truy Cập Từ Xa Qua Cổng EZproxy / VPN Sinh viên không nhất thiết phải ngồi tại phòng máy trường mới đọc được bài báo quốc tế trả phí (paid journals). Hệ thống Thư viện ĐHQG-HCM cung cấp cổng ủy quyền EZproxy (Off-Campus Access) cho phép sinh viên ngồi tại nhà tải bài báo miễn phí 100%:</w:t>
        <w:br/>
        <w:t>• Bước 1: Truy cập Cổng tài nguyên số Thư viện Trung tâm ĐHQG-HCM tại địa chỉ: https://vnulib.edu.vn hoặc cổng thư viện HCMUS: https://lib.hcmus.edu.vn.</w:t>
        <w:br/>
        <w:t>• Bước 2: Chọn mục 'CƠ SỞ DỮ LIỆU TRỰC TUYẾN' hoặc 'TRUY CẬP TỪ XA (OFF-CAMPUS ACCESS)'.</w:t>
        <w:br/>
        <w:t>• Bước 3: Hệ thống chuyển hướng sang màn hình đăng nhập EZproxy. Sinh viên nhập Tên người dùng và Mật khẩu (chính là tài khoản email sinh viên @student.hcmus.edu.vn hoặc mã vạch thẻ thư viện ĐHQG).</w:t>
        <w:br/>
        <w:t>• Bước 4: Sau khi đăng nhập thành công, trình duyệt sẽ tự động gắn proxy ủy quyền. Sinh viên bấm vào IEEE, ScienceDirect hay SpringerLink để tải trọn vẹn file PDF bài báo với dòng chữ xác nhận: 'Access provided by Vietnam National University Ho Chi Minh City'.</w:t>
      </w:r>
    </w:p>
    <w:p>
      <w:pPr>
        <w:spacing w:before="200" w:after="80"/>
      </w:pPr>
      <w:r>
        <w:rPr>
          <w:rFonts w:ascii="Arial" w:hAnsi="Arial"/>
          <w:b/>
          <w:color w:val="003366"/>
          <w:sz w:val="25"/>
        </w:rPr>
        <w:t>PHẦN 3: PHƯƠNG PHÁP &amp; CHIẾN LƯỢC TÌM KIẾM TÀI LIỆU HỌC THUẬT (SEARCH STRATEGY)</w:t>
      </w:r>
    </w:p>
    <w:p>
      <w:pPr>
        <w:spacing w:after="80" w:line="276" w:lineRule="auto"/>
      </w:pPr>
      <w:r>
        <w:rPr>
          <w:rFonts w:ascii="Arial" w:hAnsi="Arial"/>
          <w:color w:val="282828"/>
          <w:sz w:val="20"/>
        </w:rPr>
        <w:t>3.1 Nghệ Thuật Sử Dụng Toán Tử Boolean &amp; Cú Pháp Tìm Kiếm 3.2 Quy Trình 4 Bước Xây Dựng Search String Cho Đề Tài NCKH Quy trình: Bước 1 - Xác định các khái niệm cốt lõi (Core Concepts): Tách đề tài thành 2 đến 3 khái niệm độc lập. Ví dụ đề tài: 'Ứng dụng Học sâu trong Nhận diện Khối u Não trên ảnh MRI' -&gt; Có 3 khái niệm: (1) Học sâu; (2) Khối u não; (3) Ảnh MRI.</w:t>
      </w:r>
    </w:p>
    <w:p>
      <w:pPr>
        <w:spacing w:after="80" w:line="276" w:lineRule="auto"/>
      </w:pPr>
      <w:r>
        <w:rPr>
          <w:rFonts w:ascii="Arial" w:hAnsi="Arial"/>
          <w:color w:val="282828"/>
          <w:sz w:val="20"/>
        </w:rPr>
        <w:t>Quy trình: Bước 2 - Liệt kê từ đồng nghĩa và thuật ngữ tiếng Anh chuẩn: Khái niệm 1: (deep learning OR CNN OR "convolutional neural network"); Khái niệm 2: ("brain tumor" OR glioma OR "brain lesion"); Khái niệm 3: ("MRI" OR "magnetic resonance imaging").</w:t>
      </w:r>
    </w:p>
    <w:p>
      <w:pPr>
        <w:spacing w:after="80" w:line="276" w:lineRule="auto"/>
      </w:pPr>
      <w:r>
        <w:rPr>
          <w:rFonts w:ascii="Arial" w:hAnsi="Arial"/>
          <w:color w:val="282828"/>
          <w:sz w:val="20"/>
        </w:rPr>
        <w:t>Quy trình: Bước 3 - Kết hợp bằng toán tử Boolean: `(deep learning OR CNN OR "convolutional neural network") AND ("brain tumor" OR glioma) AND ("MRI" OR "magnetic resonance imaging")`.</w:t>
      </w:r>
    </w:p>
    <w:p>
      <w:pPr>
        <w:spacing w:after="80" w:line="276" w:lineRule="auto"/>
      </w:pPr>
      <w:r>
        <w:rPr>
          <w:rFonts w:ascii="Arial" w:hAnsi="Arial"/>
          <w:color w:val="282828"/>
          <w:sz w:val="20"/>
        </w:rPr>
        <w:t>Quy trình: Bước 4 - Áp dụng bộ lọc (Filters): Giới hạn năm xuất bản (5 năm gần nhất: 2020 - 2025), loại tài nguyên (Journal Article hoặc Conference Paper) và lọc các bài có chỉ số trích dẫn cao.</w:t>
      </w:r>
    </w:p>
    <w:p>
      <w:pPr>
        <w:spacing w:before="200" w:after="80"/>
      </w:pPr>
      <w:r>
        <w:rPr>
          <w:rFonts w:ascii="Arial" w:hAnsi="Arial"/>
          <w:b/>
          <w:color w:val="003366"/>
          <w:sz w:val="25"/>
        </w:rPr>
        <w:t>PHẦN 4: QUẢN LÝ TRÍCH DẪN KHOA HỌC &amp; LIÊM CHÍNH HỌC THUẬT (TURNITIN)</w:t>
      </w:r>
    </w:p>
    <w:p>
      <w:pPr>
        <w:spacing w:after="80" w:line="276" w:lineRule="auto"/>
      </w:pPr>
      <w:r>
        <w:rPr>
          <w:rFonts w:ascii="Arial" w:hAnsi="Arial"/>
          <w:color w:val="282828"/>
          <w:sz w:val="20"/>
        </w:rPr>
        <w:t>4.1 Phần Mềm Quản Lý Trích Dẫn: Mendeley &amp; Zotero Zotero: Zotero: Phần mềm mã nguồn mở hoàn toàn miễn phí, tích hợp plugin trực tiếp trên Chrome/Firefox để lưu bài báo vào thư viện chỉ bằng 1 cú nhấp chuột. Hỗ trợ trích dẫn tự động trong Microsoft Word, LibreOffice và Google Docs.</w:t>
      </w:r>
    </w:p>
    <w:p>
      <w:pPr>
        <w:spacing w:after="80" w:line="276" w:lineRule="auto"/>
      </w:pPr>
      <w:r>
        <w:rPr>
          <w:rFonts w:ascii="Arial" w:hAnsi="Arial"/>
          <w:color w:val="282828"/>
          <w:sz w:val="20"/>
        </w:rPr>
        <w:t>Mendeley: Mendeley: Phần mềm quản lý thư mục học thuật của Elsevier, tích hợp trình đọc PDF, ghi chú trực tiếp trên bài báo và tự động trích xuất metadata (tác giả, năm xuất bản, DOI, số trang).</w:t>
      </w:r>
    </w:p>
    <w:p>
      <w:pPr>
        <w:spacing w:after="80" w:line="276" w:lineRule="auto"/>
      </w:pPr>
      <w:r>
        <w:rPr>
          <w:rFonts w:ascii="Arial" w:hAnsi="Arial"/>
          <w:color w:val="282828"/>
          <w:sz w:val="20"/>
        </w:rPr>
        <w:t>Tiện ích: Tạo danh mục tài liệu tham khảo tự động: Thay vì ngồi gõ tay hàng trăm tài liệu tham khảo, phần mềm tự động định dạng chuẩn xác theo đúng kiểu trích dẫn yêu cầu chỉ trong 1 giây.</w:t>
      </w:r>
    </w:p>
    <w:p>
      <w:pPr>
        <w:spacing w:after="80" w:line="276" w:lineRule="auto"/>
      </w:pPr>
      <w:r>
        <w:rPr>
          <w:rFonts w:ascii="Arial" w:hAnsi="Arial"/>
          <w:color w:val="282828"/>
          <w:sz w:val="20"/>
        </w:rPr>
        <w:t>4.2 So Sánh Các Kiểu Trích Dẫn Chuẩn Quốc Tế 4.3 Quy Định Về Liêm Chính Học Thuật &amp; Kiểm Tra Turnitin Tại HCMUS Trường ĐH Khoa học Tự nhiên áp dụng quy chế liêm chính học thuật nghiêm ngặt đối với tất cả đồ án môn học, báo cáo NCKH và Khóa luận tốt nghiệp cử nhân:</w:t>
        <w:br/>
        <w:t>• Phần mềm kiểm tra: Sử dụng phần mềm quét trùng lặp quốc tế Turnitin thông qua tài khoản giảng viên hướng dẫn hoặc bộ phận Giáo vụ Khoa.</w:t>
        <w:br/>
        <w:t>• Ngưỡng trùng lặp cho phép (Similarity Index): Tỷ lệ tương đồng tổng thể thường KHÔNG ĐƯỢC VƯỢT QUÁ 20% ĐẾN 25% (tùy quy định cụ thể của từng Khoa), và không có nguồn đơn lẻ nào trùng lặp quá 3%.</w:t>
        <w:br/>
        <w:t>• Những nội dung được loại trừ khỏi quét: Danh mục tài liệu tham khảo (Bibliography), các cụm từ trích dẫn nguyên văn đặt trong ngoặc kép hợp lệ (Quotes), và các công thức toán học/hóa học tiêu chuẩn.</w:t>
        <w:br/>
        <w:t>• Kỹ thuật Paraphrase chuẩn mực: Viết lại ý tưởng của tác giả bằng câu từ và ngữ pháp của chính mình, sau đó bắt buộc phải ghi nguồn trích dẫn. Tuyệt đối không sao chép nguyên văn rồi chỉ đổi vài từ đồng nghĩa (đây vẫn bị tính là đạo văn cấu trúc).</w:t>
      </w:r>
    </w:p>
    <w:p>
      <w:pPr>
        <w:spacing w:before="200" w:after="80"/>
      </w:pPr>
      <w:r>
        <w:rPr>
          <w:rFonts w:ascii="Arial" w:hAnsi="Arial"/>
          <w:b/>
          <w:color w:val="003366"/>
          <w:sz w:val="25"/>
        </w:rPr>
        <w:t>PHẦN 5: TRÍCH LƯỢC QUY CHẾ ĐÀO TẠO &amp; KHẢO THÍ LIÊN QUAN ĐẾN KHÓA LUẬN (QĐ 1175)</w:t>
      </w:r>
    </w:p>
    <w:p>
      <w:pPr>
        <w:spacing w:after="80" w:line="276" w:lineRule="auto"/>
      </w:pPr>
      <w:r>
        <w:rPr>
          <w:rFonts w:ascii="Arial" w:hAnsi="Arial"/>
          <w:color w:val="282828"/>
          <w:sz w:val="20"/>
        </w:rPr>
        <w:t>Trích lục Điều 5 Quy chế Đào tạo tín chỉ về Đồ án, Khóa luận tốt nghiệp:</w:t>
      </w:r>
    </w:p>
    <w:p>
      <w:pPr>
        <w:spacing w:before="120" w:after="40"/>
      </w:pPr>
      <w:r>
        <w:rPr>
          <w:rFonts w:ascii="Arial" w:hAnsi="Arial"/>
          <w:b/>
          <w:color w:val="1E4678"/>
          <w:sz w:val="22"/>
        </w:rPr>
        <w:t>QUY CHẾ ĐÀO TẠO TRÌNH ĐỘ ĐẠI HỌC</w:t>
      </w:r>
    </w:p>
    <w:p>
      <w:pPr>
        <w:spacing w:before="120" w:after="40"/>
      </w:pPr>
      <w:r>
        <w:rPr>
          <w:rFonts w:ascii="Arial" w:hAnsi="Arial"/>
          <w:b/>
          <w:color w:val="1E4678"/>
          <w:sz w:val="22"/>
        </w:rPr>
        <w:t>TRƯỜNG ĐẠI HỌC KHOA HỌC TỰ NHIÊN, ĐHQG-HCM</w:t>
      </w:r>
    </w:p>
    <w:p>
      <w:pPr>
        <w:spacing w:after="80" w:line="276" w:lineRule="auto"/>
      </w:pPr>
      <w:r>
        <w:rPr>
          <w:rFonts w:ascii="Arial" w:hAnsi="Arial"/>
          <w:color w:val="282828"/>
          <w:sz w:val="20"/>
        </w:rPr>
        <w:t>(Ban hành kèm theo Quyết định số 1175/QĐ-KHTN ngày 24/9/2021 của Hiệu trưởng Trường Đại học Khoa học tự nhiên, ĐHQG-HCM) Chương I</w:t>
      </w:r>
    </w:p>
    <w:p>
      <w:pPr>
        <w:spacing w:before="120" w:after="40"/>
      </w:pPr>
      <w:r>
        <w:rPr>
          <w:rFonts w:ascii="Arial" w:hAnsi="Arial"/>
          <w:b/>
          <w:color w:val="1E4678"/>
          <w:sz w:val="22"/>
        </w:rPr>
        <w:t>NHỮNG QUY ĐỊNH CHUNG</w:t>
      </w:r>
    </w:p>
    <w:p>
      <w:pPr>
        <w:spacing w:before="120" w:after="40"/>
      </w:pPr>
      <w:r>
        <w:rPr>
          <w:rFonts w:ascii="Arial" w:hAnsi="Arial"/>
          <w:b/>
          <w:color w:val="1E4678"/>
          <w:sz w:val="22"/>
        </w:rPr>
        <w:t>Điều 1.  Phạm vi điều chỉnh và đối tượng áp dụng</w:t>
      </w:r>
    </w:p>
    <w:p>
      <w:pPr>
        <w:spacing w:after="80" w:line="276" w:lineRule="auto"/>
      </w:pPr>
      <w:r>
        <w:rPr>
          <w:rFonts w:ascii="Arial" w:hAnsi="Arial"/>
          <w:color w:val="282828"/>
          <w:sz w:val="20"/>
        </w:rPr>
        <w:t>1. Quy chế này quy định chung về tổ chức và quản lý đào tạo trình độ đại học theo phương thức đào tạo tín chỉ của Trường Đại học Khoa học tự nhiên, Đại học Quốc Gia Thành Phố Hồ Chí Minh (sau đây gọi tắt là Trường) bao gồm:</w:t>
      </w:r>
    </w:p>
    <w:p>
      <w:pPr>
        <w:spacing w:after="80" w:line="276" w:lineRule="auto"/>
      </w:pPr>
      <w:r>
        <w:rPr>
          <w:rFonts w:ascii="Arial" w:hAnsi="Arial"/>
          <w:color w:val="282828"/>
          <w:sz w:val="20"/>
        </w:rPr>
        <w:t>Chương trình đào tạo và thời gian học tập; hình thức và phương thức tổ chức đào tạo; lập kế hoạch và tổ chức giảng dạy; đánh giá kết quả học tập và cấp bằng tốt nghiệp; những quy định khác đối với sinh viên.</w:t>
      </w:r>
    </w:p>
    <w:p>
      <w:pPr>
        <w:spacing w:after="80" w:line="276" w:lineRule="auto"/>
      </w:pPr>
      <w:r>
        <w:rPr>
          <w:rFonts w:ascii="Arial" w:hAnsi="Arial"/>
          <w:color w:val="282828"/>
          <w:sz w:val="20"/>
        </w:rPr>
        <w:t>2. Quy chế này áp dụng đối với sinh viên đại học hệ chính quy các khóa đào tạo, các đơn vị, cá nhân thuộc Trường có liên quan trong đào tạo trình độ đại học theo phương thức đào tạo tín chỉ.</w:t>
      </w:r>
    </w:p>
    <w:p>
      <w:pPr>
        <w:spacing w:after="80" w:line="276" w:lineRule="auto"/>
      </w:pPr>
      <w:r>
        <w:rPr>
          <w:rFonts w:ascii="Arial" w:hAnsi="Arial"/>
          <w:color w:val="282828"/>
          <w:sz w:val="20"/>
        </w:rPr>
        <w:t>3. Quy chế này là căn cứ để Trường xây dựng và ban hành các văn bản quy định cụ thể liên quan đến tổ chức và quản lý đào tạo trình độ đại học hệ chính quy theo phương thức đào tạo tín chỉ.</w:t>
      </w:r>
    </w:p>
    <w:p>
      <w:pPr>
        <w:spacing w:before="120" w:after="40"/>
      </w:pPr>
      <w:r>
        <w:rPr>
          <w:rFonts w:ascii="Arial" w:hAnsi="Arial"/>
          <w:b/>
          <w:color w:val="1E4678"/>
          <w:sz w:val="22"/>
        </w:rPr>
        <w:t>Điều 2.  Chương trình đào tạo và thời gian học tập</w:t>
      </w:r>
    </w:p>
    <w:p>
      <w:pPr>
        <w:spacing w:after="80" w:line="276" w:lineRule="auto"/>
      </w:pPr>
      <w:r>
        <w:rPr>
          <w:rFonts w:ascii="Arial" w:hAnsi="Arial"/>
          <w:color w:val="282828"/>
          <w:sz w:val="20"/>
        </w:rPr>
        <w:t>1. Chương trình đào tạo được xây dựng theo đơn vị tín chỉ, cấu trúc từ các môn học hoặc học phần (sau đây gọi chung là học phần), trong đó phải có đủ các học phần bắt buộc và đáp ứng chuẩn chương trình đào tạo theo quy định hiện hành của Bộ Giáo dục và Đào tạo. Trong trường hợp đào tạo song ngành hoặc ngành chính - ngành phụ, chương trình đào tạo phải thể hiện rõ khối lượng học tập chung và riêng theo từng ngành.</w:t>
      </w:r>
    </w:p>
    <w:p>
      <w:pPr>
        <w:spacing w:after="80" w:line="276" w:lineRule="auto"/>
      </w:pPr>
      <w:r>
        <w:rPr>
          <w:rFonts w:ascii="Arial" w:hAnsi="Arial"/>
          <w:color w:val="282828"/>
          <w:sz w:val="20"/>
        </w:rPr>
        <w:t>2. Chương trình đào tạo là những thông tin cơ bản mà sinh viên cần nắm vững trong quá trình học tập, bao gồm: trình độ đào tạo, mục tiêu đào tạo, đối tượng đào tạo, chuẩn đầu ra kiến thức, kỹ năng, thái độ, trách nhiệm nghề nghiệp của sinh viên khi tốt nghiệp; khối lượng kiến thức, cấu trúc của chương trình đào tạo; khối lượng kiến thức lý thuyết, thực hành, thực tập của các học phần; kế hoạch đào tạo theo thời gian thiết kế; phương pháp và hình thức đánh giá đối với học phần; điều kiện tốt nghiệp; các điều kiện thực hiện chương trình.</w:t>
      </w:r>
    </w:p>
    <w:p>
      <w:pPr>
        <w:spacing w:after="80" w:line="276" w:lineRule="auto"/>
      </w:pPr>
      <w:r>
        <w:rPr>
          <w:rFonts w:ascii="Arial" w:hAnsi="Arial"/>
          <w:color w:val="282828"/>
          <w:sz w:val="20"/>
        </w:rPr>
        <w:t>3. Chương trình đào tạo bao gồm khối kiến thức giáo dục đại cương và giáo dục chuyên nghiệp. Khối kiến thức giáo dục đại cương nhằm trang bị cho sinh viên nền học vấn rộng; có thế giới quan khoa học và nhân sinh quan đúng đắn; hiểu biết về tự nhiên, xã hội và con người; nắm vững phương pháp tư duy khoa học; có đạo đức, nhận thức trách nhiệm công dân; có năng lực tham gia xây dựng và bảo vệ đất nước, trong đó các học phần bắt buộc phải có theo quy định của Bộ Giáo dục và Đào tạo bao gồm: lý luận chính trị, pháp luật, giáo dục thể chất, giáo dục quốc phòng - an ninh theo quy định hiện hành. Khối kiến thức giáo dục chuyên nghiệp được thể hiện theo 2 nhóm gồm nhóm kiến thức cơ sở ngành và nhóm kiến thức chuyên ngành, nhằm cung cấp cho sinh viên những kiến thức và kỹ năng nghề nghiệp ban đầu cần thiết.</w:t>
      </w:r>
    </w:p>
    <w:p>
      <w:pPr>
        <w:spacing w:after="80" w:line="276" w:lineRule="auto"/>
      </w:pPr>
      <w:r>
        <w:rPr>
          <w:rFonts w:ascii="Arial" w:hAnsi="Arial"/>
          <w:color w:val="282828"/>
          <w:sz w:val="20"/>
        </w:rPr>
        <w:t>4. Nội dung, chuẩn đầu ra của chương trình đào tạo áp dụng chung đối với các hình thức, phương thức tổ chức đào tạo và đối tượng người học khác nhau. Đối với người đã tốt nghiệp trình độ khác hoặc ngành khác, khối lượng học tập thực tế được xác định trên cơ sở công nhận, hoặc chuyển đổi tín chỉ đã tích lũy và miễn trừ học phần trong chương trình đào tạo trước.</w:t>
      </w:r>
    </w:p>
    <w:p>
      <w:pPr>
        <w:spacing w:after="80" w:line="276" w:lineRule="auto"/>
      </w:pPr>
      <w:r>
        <w:rPr>
          <w:rFonts w:ascii="Arial" w:hAnsi="Arial"/>
          <w:color w:val="282828"/>
          <w:sz w:val="20"/>
        </w:rPr>
        <w:t>5. Chương trình đào tạo phải được công khai đối với người học trước khi tuyển sinh và khi bắt đầu khóa học; những thay đổi, điều chỉnh liên quan đến chương trình đào tạo được thực hiện theo quy định hiện hành và công bố trước khi áp dụng, không gây tác động bất lợi cho sinh viên.</w:t>
      </w:r>
    </w:p>
    <w:p>
      <w:pPr>
        <w:spacing w:after="80" w:line="276" w:lineRule="auto"/>
      </w:pPr>
      <w:r>
        <w:rPr>
          <w:rFonts w:ascii="Arial" w:hAnsi="Arial"/>
          <w:color w:val="282828"/>
          <w:sz w:val="20"/>
        </w:rPr>
        <w:t>6. Đối với mỗi hình thức đào tạo, chương trình đào tạo được cung cấp kế hoạch học tập chuẩn toàn khoá để định hướng cho sinh viên. Thời gian theo kế hoạch học tập chuẩn toàn khoá đối với hình thức đào tạo chính quy phải phù hợp với thời gian quy định trong Khung cơ cấu hệ thống giáo dục quốc dân, đồng thời đảm bảo đa số sinh viên hoàn thành chương trình đào tạo.</w:t>
      </w:r>
    </w:p>
    <w:p>
      <w:pPr>
        <w:spacing w:after="80" w:line="276" w:lineRule="auto"/>
      </w:pPr>
      <w:r>
        <w:rPr>
          <w:rFonts w:ascii="Arial" w:hAnsi="Arial"/>
          <w:color w:val="282828"/>
          <w:sz w:val="20"/>
        </w:rPr>
        <w:t>7. Thời gian tối đa để sinh viên hoàn thành khóa học Tùy theo khả năng học tập, sinh viên được rút ngắn hoặc kéo dài thời gian học như sau:</w:t>
      </w:r>
    </w:p>
    <w:p>
      <w:pPr>
        <w:spacing w:after="80" w:line="276" w:lineRule="auto"/>
      </w:pPr>
      <w:r>
        <w:rPr>
          <w:rFonts w:ascii="Arial" w:hAnsi="Arial"/>
          <w:color w:val="282828"/>
          <w:sz w:val="20"/>
        </w:rPr>
        <w:t>a) Sinh viên được phép rút ngắn tối đa một (01) năm học và kéo dài thêm không vượt quá ba (03) năm học theo kế hoạch học tập. Riêng đối với chương trình liên thông đại học, sinh viên kéo dài thêm không vượt quá hai (02) năm học theo kế hoạch học tập.</w:t>
      </w:r>
    </w:p>
    <w:p>
      <w:pPr>
        <w:spacing w:after="80" w:line="276" w:lineRule="auto"/>
      </w:pPr>
      <w:r>
        <w:rPr>
          <w:rFonts w:ascii="Arial" w:hAnsi="Arial"/>
          <w:color w:val="282828"/>
          <w:sz w:val="20"/>
        </w:rPr>
        <w:t>b) Quá thời hạn tối đa của khóa học, sinh viên sẽ bị xóa tên khỏi danh sách sinh viên của Trường.</w:t>
      </w:r>
    </w:p>
    <w:p>
      <w:pPr>
        <w:spacing w:after="80" w:line="276" w:lineRule="auto"/>
      </w:pPr>
      <w:r>
        <w:rPr>
          <w:rFonts w:ascii="Arial" w:hAnsi="Arial"/>
          <w:color w:val="282828"/>
          <w:sz w:val="20"/>
        </w:rPr>
        <w:t>c) Tùy vào trường hợp cụ thể, Hiệu trưởng xem xét và gia hạn thêm thời gian đào tạo cho sinh viên nhưng không được vượt quá hai lần thời gian thiết kế của khóa học tương ứng với mỗi chương trình đào tạo.</w:t>
      </w:r>
    </w:p>
    <w:p>
      <w:pPr>
        <w:spacing w:before="120" w:after="40"/>
      </w:pPr>
      <w:r>
        <w:rPr>
          <w:rFonts w:ascii="Arial" w:hAnsi="Arial"/>
          <w:b/>
          <w:color w:val="1E4678"/>
          <w:sz w:val="22"/>
        </w:rPr>
        <w:t>Điều 3.  Học phần, đề cương chi tiết học phần và tín chỉ</w:t>
      </w:r>
    </w:p>
    <w:p>
      <w:pPr>
        <w:spacing w:after="80" w:line="276" w:lineRule="auto"/>
      </w:pPr>
      <w:r>
        <w:rPr>
          <w:rFonts w:ascii="Arial" w:hAnsi="Arial"/>
          <w:color w:val="282828"/>
          <w:sz w:val="20"/>
        </w:rPr>
        <w:t>1. Học phần a) Học phần là một tập hợp hoạt động giảng dạy và học tập được thiết kế nhằm thực hiện một số mục tiêu học tập cụ thể, trang bị cho người học những kiến thức, kỹ năng thuộc một phạm vi chuyên môn hẹp trong chương trình đào tạo. Một học phần thông thường được tổ chức giảng dạy, học tập trong một học kỳ. Mỗi học phần được ký hiệu bằng một mã số riêng do trường quy định.</w:t>
      </w:r>
    </w:p>
    <w:p>
      <w:pPr>
        <w:spacing w:after="80" w:line="276" w:lineRule="auto"/>
      </w:pPr>
      <w:r>
        <w:rPr>
          <w:rFonts w:ascii="Arial" w:hAnsi="Arial"/>
          <w:color w:val="282828"/>
          <w:sz w:val="20"/>
        </w:rPr>
        <w:t>b) Có hai loại học phần: học phần bắt buộc và học phần tự chọn.</w:t>
      </w:r>
    </w:p>
    <w:p>
      <w:pPr>
        <w:spacing w:after="80" w:line="276" w:lineRule="auto"/>
      </w:pPr>
      <w:r>
        <w:rPr>
          <w:rFonts w:ascii="Arial" w:hAnsi="Arial"/>
          <w:color w:val="282828"/>
          <w:sz w:val="20"/>
        </w:rPr>
        <w:t>Học phần bắt buộc là học phần chứa đựng những nội dung kiến thức chính yếu của mỗi chương trình đào tạo và bắt buộc sinh viên phải tích lũy.</w:t>
      </w:r>
    </w:p>
    <w:p>
      <w:pPr>
        <w:spacing w:after="80" w:line="276" w:lineRule="auto"/>
      </w:pPr>
      <w:r>
        <w:rPr>
          <w:rFonts w:ascii="Arial" w:hAnsi="Arial"/>
          <w:color w:val="282828"/>
          <w:sz w:val="20"/>
        </w:rPr>
        <w:t>Học phần tự chọn là học phần chứa đựng những nội dung kiến thức cần thiết, nhưng sinh viên được tự chọn theo hướng dẫn của Trường nhằm đa dạng hoá hướng chuyên môn hoặc được tự chọn tùy ý để tích lũy đủ số học phần/số tín chỉ quy định cho mỗi chương trình đào tạo.</w:t>
      </w:r>
    </w:p>
    <w:p>
      <w:pPr>
        <w:spacing w:after="80" w:line="276" w:lineRule="auto"/>
      </w:pPr>
      <w:r>
        <w:rPr>
          <w:rFonts w:ascii="Arial" w:hAnsi="Arial"/>
          <w:color w:val="282828"/>
          <w:sz w:val="20"/>
        </w:rPr>
        <w:t>c) Ngoài việc được phân loại là bắt buộc hoặc tự chọn, các học phần có các khái niệm khác như sau:</w:t>
      </w:r>
    </w:p>
    <w:p>
      <w:pPr>
        <w:spacing w:after="80" w:line="276" w:lineRule="auto"/>
      </w:pPr>
      <w:r>
        <w:rPr>
          <w:rFonts w:ascii="Arial" w:hAnsi="Arial"/>
          <w:color w:val="282828"/>
          <w:sz w:val="20"/>
        </w:rPr>
        <w:t>Học phần chung là các học phần được giảng dạy chung cho tất cả các ngành theo quy định (Giáo dục Quốc phòng - An ninh, Giáo dục Thể chất, các học phần lý luận chính trị, pháp luật…) Học phần tiên quyết: học phần tiên quyết đối với học phần A là học phần mà viên phải học và thi đạt mới được đăng ký và theo học học phần A.</w:t>
      </w:r>
    </w:p>
    <w:p>
      <w:pPr>
        <w:spacing w:after="80" w:line="276" w:lineRule="auto"/>
      </w:pPr>
      <w:r>
        <w:rPr>
          <w:rFonts w:ascii="Arial" w:hAnsi="Arial"/>
          <w:color w:val="282828"/>
          <w:sz w:val="20"/>
        </w:rPr>
        <w:t>Học phần học trước: học phần học trước với học phần A là học phần mà sinh viên phải hoàn thành quá trình học tập trước khi đăng ký và theo học học phần A.</w:t>
      </w:r>
    </w:p>
    <w:p>
      <w:pPr>
        <w:spacing w:after="80" w:line="276" w:lineRule="auto"/>
      </w:pPr>
      <w:r>
        <w:rPr>
          <w:rFonts w:ascii="Arial" w:hAnsi="Arial"/>
          <w:color w:val="282828"/>
          <w:sz w:val="20"/>
        </w:rPr>
        <w:t>Học phần song hành: hai học phần được gọi là song hành khi sinh viên đăng ký học phần này thì bắt buộc phải đăng ký học phần kia.</w:t>
      </w:r>
    </w:p>
    <w:p>
      <w:pPr>
        <w:spacing w:after="80" w:line="276" w:lineRule="auto"/>
      </w:pPr>
      <w:r>
        <w:rPr>
          <w:rFonts w:ascii="Arial" w:hAnsi="Arial"/>
          <w:color w:val="282828"/>
          <w:sz w:val="20"/>
        </w:rPr>
        <w:t>Học phần thay thế: là học phần được sử dụng thay thế cho một học phần đã được thay đổi hoặc điều chỉnh, không còn tổ chức giảng dạy trong chương trình đào tạo.</w:t>
      </w:r>
    </w:p>
    <w:p>
      <w:pPr>
        <w:spacing w:after="80" w:line="276" w:lineRule="auto"/>
      </w:pPr>
      <w:r>
        <w:rPr>
          <w:rFonts w:ascii="Arial" w:hAnsi="Arial"/>
          <w:color w:val="282828"/>
          <w:sz w:val="20"/>
        </w:rPr>
        <w:t>Học phần tương đương: một học phần được gọi là tương đương với học phần A khi có nội dung kiến thức và thời lượng đáp ứng yêu cầu cơ bản của học phần A.</w:t>
      </w:r>
    </w:p>
    <w:p>
      <w:pPr>
        <w:spacing w:after="80" w:line="276" w:lineRule="auto"/>
      </w:pPr>
      <w:r>
        <w:rPr>
          <w:rFonts w:ascii="Arial" w:hAnsi="Arial"/>
          <w:color w:val="282828"/>
          <w:sz w:val="20"/>
        </w:rPr>
        <w:t>Học phần tự chọn định hướng: là học phần mà sinh viên phải chọn trong các học phần định hướng cho một ngành, chuyên ngành cụ thể.</w:t>
      </w:r>
    </w:p>
    <w:p>
      <w:pPr>
        <w:spacing w:after="80" w:line="276" w:lineRule="auto"/>
      </w:pPr>
      <w:r>
        <w:rPr>
          <w:rFonts w:ascii="Arial" w:hAnsi="Arial"/>
          <w:color w:val="282828"/>
          <w:sz w:val="20"/>
        </w:rPr>
        <w:t>2. Mỗi học phần đều phải có đề cương chi tiết học phần, trong đó phải thể hiện rõ: mục tiêu; chuẩn đầu ra; số tín chỉ; số tiết theo cấu trúc học phần; điều kiện tiên quyết/học trước/song hành (nếu có), nội dung giảng dạy; phương pháp giảng dạy và đánh giá kết quả học tập; giáo trình, tài liệu tham khảo và các quy định khác (nếu có).</w:t>
      </w:r>
    </w:p>
    <w:p>
      <w:pPr>
        <w:spacing w:after="80" w:line="276" w:lineRule="auto"/>
      </w:pPr>
      <w:r>
        <w:rPr>
          <w:rFonts w:ascii="Arial" w:hAnsi="Arial"/>
          <w:color w:val="282828"/>
          <w:sz w:val="20"/>
        </w:rPr>
        <w:t>3. Tín chỉ được sử dụng để tính khối lượng học tập của sinh viên. Một tín chỉ được quy định bằng 15 tiết học lý thuyết; 30 hoặc 45 tiết thực hành, thí nghiệm hoặc thảo luận; 15 hoặc 30 tiết bài tập; 30 tiết làm tiểu luận, bài tập lớn hoặc đồ án, khóa luận tốt nghiệp.</w:t>
      </w:r>
    </w:p>
    <w:p>
      <w:pPr>
        <w:spacing w:after="80" w:line="276" w:lineRule="auto"/>
      </w:pPr>
      <w:r>
        <w:rPr>
          <w:rFonts w:ascii="Arial" w:hAnsi="Arial"/>
          <w:color w:val="282828"/>
          <w:sz w:val="20"/>
        </w:rPr>
        <w:t>4. Một tiết học được tính bằng 50 phút giảng dạy trực tiếp trên lớp.</w:t>
      </w:r>
    </w:p>
    <w:p>
      <w:pPr>
        <w:spacing w:before="120" w:after="40"/>
      </w:pPr>
      <w:r>
        <w:rPr>
          <w:rFonts w:ascii="Arial" w:hAnsi="Arial"/>
          <w:b/>
          <w:color w:val="1E4678"/>
          <w:sz w:val="22"/>
        </w:rPr>
        <w:t>Điều 4.  Phương thức tổ chức đào tạo</w:t>
      </w:r>
    </w:p>
    <w:p>
      <w:pPr>
        <w:spacing w:after="80" w:line="276" w:lineRule="auto"/>
      </w:pPr>
      <w:r>
        <w:rPr>
          <w:rFonts w:ascii="Arial" w:hAnsi="Arial"/>
          <w:color w:val="282828"/>
          <w:sz w:val="20"/>
        </w:rPr>
        <w:t>1. Trường Đại học Khoa học Tự nhiên, Đại học Quốc Gia Thành Phố Hồ Chí Minh áp dụng đào tạo theo tín chỉ đối với trình độ đại học cho tất cả các khóa và hình thức đào tạo.</w:t>
      </w:r>
    </w:p>
    <w:p>
      <w:pPr>
        <w:spacing w:after="80" w:line="276" w:lineRule="auto"/>
      </w:pPr>
      <w:r>
        <w:rPr>
          <w:rFonts w:ascii="Arial" w:hAnsi="Arial"/>
          <w:color w:val="282828"/>
          <w:sz w:val="20"/>
        </w:rPr>
        <w:t>2. Đào tạo theo tín chỉ:</w:t>
      </w:r>
    </w:p>
    <w:p>
      <w:pPr>
        <w:spacing w:after="80" w:line="276" w:lineRule="auto"/>
      </w:pPr>
      <w:r>
        <w:rPr>
          <w:rFonts w:ascii="Arial" w:hAnsi="Arial"/>
          <w:color w:val="282828"/>
          <w:sz w:val="20"/>
        </w:rPr>
        <w:t>a) Là phương thức tổ chức đào tạo theo từng lớp học phần, cho phép sinh viên tích lũy tín chỉ của từng học phần và thực hiện chương trình đào tạo theo kế hoạch học tập của cá nhân, phù hợp với kế hoạch giảng dạy của Trường; b) Sinh viên không đạt một học phần bắt buộc sẽ phải học lại học phần đó hoặc học một học phần tương đương theo quy định trong chương trình đào tạo, hoặc học một học phần thay thế nếu học phần đó không còn được giảng dạy; c) Sinh viên không đạt một học phần tự chọn sẽ phải học lại học phần đó hoặc có thể chọn học một học phần tự chọn khác theo quy định trong chương trình đào tạo.</w:t>
      </w:r>
    </w:p>
    <w:p>
      <w:pPr>
        <w:spacing w:before="120" w:after="40"/>
      </w:pPr>
      <w:r>
        <w:rPr>
          <w:rFonts w:ascii="Arial" w:hAnsi="Arial"/>
          <w:b/>
          <w:color w:val="1E4678"/>
          <w:sz w:val="22"/>
        </w:rPr>
        <w:t>Điều 5.  Hình thức đào tạo</w:t>
      </w:r>
    </w:p>
    <w:p>
      <w:pPr>
        <w:spacing w:after="80" w:line="276" w:lineRule="auto"/>
      </w:pPr>
      <w:r>
        <w:rPr>
          <w:rFonts w:ascii="Arial" w:hAnsi="Arial"/>
          <w:color w:val="282828"/>
          <w:sz w:val="20"/>
        </w:rPr>
        <w:t>1. Đào tạo chính quy a) Các hoạt động giảng dạy được thực hiện tại Trường, riêng những hoạt động thực hành, thực tập, trải nghiệm thực tế và giảng dạy trực tuyến có thể thực hiện ngoài Trường; b) Thời gian tổ chức hoạt động giảng dạy trong khoảng từ 06 giờ đến 20 giờ các ngày trong tuần từ thứ 2 đến thứ 7; thời gian tổ chức những hoạt động đặc thù của chương trình đào tạo được thực hiện theo quy định của cơ sở đào tạo.</w:t>
      </w:r>
    </w:p>
    <w:p>
      <w:pPr>
        <w:spacing w:after="80" w:line="276" w:lineRule="auto"/>
      </w:pPr>
      <w:r>
        <w:rPr>
          <w:rFonts w:ascii="Arial" w:hAnsi="Arial"/>
          <w:color w:val="282828"/>
          <w:sz w:val="20"/>
        </w:rPr>
        <w:t>2. Đối với các ngành đào tạo ưu tiên phục vụ nguồn nhân lực phát triển kinh tế - xã hội trong từng giai đoạn, Trường thực hiện theo hướng dẫn Bộ Giáo dục và Đào tạo với các hình thức đào tạo phù hợp.</w:t>
      </w:r>
    </w:p>
    <w:p>
      <w:pPr>
        <w:spacing w:after="80" w:line="276" w:lineRule="auto"/>
      </w:pPr>
      <w:r>
        <w:rPr>
          <w:rFonts w:ascii="Arial" w:hAnsi="Arial"/>
          <w:color w:val="282828"/>
          <w:sz w:val="20"/>
        </w:rPr>
        <w:t>Chương II</w:t>
      </w:r>
    </w:p>
    <w:p>
      <w:pPr>
        <w:spacing w:before="120" w:after="40"/>
      </w:pPr>
      <w:r>
        <w:rPr>
          <w:rFonts w:ascii="Arial" w:hAnsi="Arial"/>
          <w:b/>
          <w:color w:val="1E4678"/>
          <w:sz w:val="22"/>
        </w:rPr>
        <w:t>LẬP KẾ HOẠCH VÀ TỔ CHỨC GIẢNG DẠY</w:t>
      </w:r>
    </w:p>
    <w:p>
      <w:pPr>
        <w:spacing w:before="120" w:after="40"/>
      </w:pPr>
      <w:r>
        <w:rPr>
          <w:rFonts w:ascii="Arial" w:hAnsi="Arial"/>
          <w:b/>
          <w:color w:val="1E4678"/>
          <w:sz w:val="22"/>
        </w:rPr>
        <w:t>Điều 6.  Kế hoạch giảng dạy và học tập</w:t>
      </w:r>
    </w:p>
    <w:p>
      <w:pPr>
        <w:spacing w:after="80" w:line="276" w:lineRule="auto"/>
      </w:pPr>
      <w:r>
        <w:rPr>
          <w:rFonts w:ascii="Arial" w:hAnsi="Arial"/>
          <w:color w:val="282828"/>
          <w:sz w:val="20"/>
        </w:rPr>
        <w:t>1. Kế hoạch giảng dạy và học tập được tổ chức thực hiện theo khóa học, năm học và học kỳ.</w:t>
      </w:r>
    </w:p>
    <w:p>
      <w:pPr>
        <w:spacing w:after="80" w:line="276" w:lineRule="auto"/>
      </w:pPr>
      <w:r>
        <w:rPr>
          <w:rFonts w:ascii="Arial" w:hAnsi="Arial"/>
          <w:color w:val="282828"/>
          <w:sz w:val="20"/>
        </w:rPr>
        <w:t>2. Khoá học là thời gian thiết kế để sinh viên hoàn thành một chương trình cụ thể. Tuỳ thuộc vào chương trình đào tạo, khoá học được quy định như sau:</w:t>
      </w:r>
    </w:p>
    <w:p>
      <w:pPr>
        <w:spacing w:after="80" w:line="276" w:lineRule="auto"/>
      </w:pPr>
      <w:r>
        <w:rPr>
          <w:rFonts w:ascii="Arial" w:hAnsi="Arial"/>
          <w:color w:val="282828"/>
          <w:sz w:val="20"/>
        </w:rPr>
        <w:t>a) Đào tạo trình độ đại học được thực hiện trong bốn năm học.</w:t>
      </w:r>
    </w:p>
    <w:p>
      <w:pPr>
        <w:spacing w:after="80" w:line="276" w:lineRule="auto"/>
      </w:pPr>
      <w:r>
        <w:rPr>
          <w:rFonts w:ascii="Arial" w:hAnsi="Arial"/>
          <w:color w:val="282828"/>
          <w:sz w:val="20"/>
        </w:rPr>
        <w:t>b) Đào tạo liên thông từ cao đẳng lên đại học thực hiện từ một năm rưỡi đến hai năm học; c) Đào tạo liên thông, văn bằng 2: thời gian được xác định trên cơ sở học phần và khối lượng tích lũy quy định cho từng chương trình;</w:t>
      </w:r>
    </w:p>
    <w:p>
      <w:pPr>
        <w:spacing w:after="80" w:line="276" w:lineRule="auto"/>
      </w:pPr>
      <w:r>
        <w:rPr>
          <w:rFonts w:ascii="Arial" w:hAnsi="Arial"/>
          <w:color w:val="282828"/>
          <w:sz w:val="20"/>
        </w:rPr>
        <w:t>3. Tổng số tín chỉ trong một khoá học được ghi rõ trong chương trình đào tạo. Khối lượng và nội dung kiến thức của khoá học được quy định cụ thể cho từng năm học, từng học kỳ trong chương trình.</w:t>
      </w:r>
    </w:p>
    <w:p>
      <w:pPr>
        <w:spacing w:after="80" w:line="276" w:lineRule="auto"/>
      </w:pPr>
      <w:r>
        <w:rPr>
          <w:rFonts w:ascii="Arial" w:hAnsi="Arial"/>
          <w:color w:val="282828"/>
          <w:sz w:val="20"/>
        </w:rPr>
        <w:t>4. Một năm học của Trường được tổ chức như sau:</w:t>
      </w:r>
    </w:p>
    <w:p>
      <w:pPr>
        <w:spacing w:after="80" w:line="276" w:lineRule="auto"/>
      </w:pPr>
      <w:r>
        <w:rPr>
          <w:rFonts w:ascii="Arial" w:hAnsi="Arial"/>
          <w:color w:val="282828"/>
          <w:sz w:val="20"/>
        </w:rPr>
        <w:t>a)  Đối với chương trình đại trà: một năm học có hai học kỳ chính, mỗi học kỳ chính có 15 tuần thực học. Ngoài hai học kỳ chính, Trường có thể tổ chức thêm học kỳ hè để sinh viên có điều kiện được học lại, học cải thiện hoặc học vượt. Mỗi học kỳ hè có ít nhất 5 tuần thực học.</w:t>
      </w:r>
    </w:p>
    <w:p>
      <w:pPr>
        <w:spacing w:after="80" w:line="276" w:lineRule="auto"/>
      </w:pPr>
      <w:r>
        <w:rPr>
          <w:rFonts w:ascii="Arial" w:hAnsi="Arial"/>
          <w:color w:val="282828"/>
          <w:sz w:val="20"/>
        </w:rPr>
        <w:t>b)  Đối với chương trình Tiên tiến, Liên kết, Chất lượng cao: một năm học có 03 học kỳ chính với tổng số tối thiểu 30 tuần lên lớp.</w:t>
      </w:r>
    </w:p>
    <w:p>
      <w:pPr>
        <w:spacing w:after="80" w:line="276" w:lineRule="auto"/>
      </w:pPr>
      <w:r>
        <w:rPr>
          <w:rFonts w:ascii="Arial" w:hAnsi="Arial"/>
          <w:color w:val="282828"/>
          <w:sz w:val="20"/>
        </w:rPr>
        <w:t>c) Kế hoạch năm học thể hiện những mốc thời gian chính của các hoạt động đào tạo trong năm học cho tất cả hình thức, chương trình đào tạo, được công bố kịp thời tới các bên liên quan trước khi bắt đầu năm học.</w:t>
      </w:r>
    </w:p>
    <w:p>
      <w:pPr>
        <w:spacing w:after="80" w:line="276" w:lineRule="auto"/>
      </w:pPr>
      <w:r>
        <w:rPr>
          <w:rFonts w:ascii="Arial" w:hAnsi="Arial"/>
          <w:color w:val="282828"/>
          <w:sz w:val="20"/>
        </w:rPr>
        <w:t>5. Kế hoạch học kỳ bao gồm: kế hoạch mở lớp, hình thức dạy và học (trực tiếp hoặc trực tuyến), lịch học, lịch thi/kiểm tra của các học phần được tổ chức trong học kỳ cho các khoá học, chương trình đào tạo và hình thức đào tạo. Kế hoạch học kỳ phải được xây dựng và công bố kịp thời với đầy đủ thông tin cần thiết, bảo đảm thuận tiện cho sinh viên xây dựng kế hoạch học tập và đăng ký học tập.</w:t>
      </w:r>
    </w:p>
    <w:p>
      <w:pPr>
        <w:spacing w:after="80" w:line="276" w:lineRule="auto"/>
      </w:pPr>
      <w:r>
        <w:rPr>
          <w:rFonts w:ascii="Arial" w:hAnsi="Arial"/>
          <w:color w:val="282828"/>
          <w:sz w:val="20"/>
        </w:rPr>
        <w:t>6. Thời khóa biểu thể hiện thời gian, địa điểm, hoạt động dạy và học của từng lớp thuộc các khoá học, hình thức và chương trình đào tạo. Thời khóa biểu của các lớp học phần bình thường được bố trí đều trong các tuần của học kỳ.</w:t>
      </w:r>
    </w:p>
    <w:p>
      <w:pPr>
        <w:spacing w:after="80" w:line="276" w:lineRule="auto"/>
      </w:pPr>
      <w:r>
        <w:rPr>
          <w:rFonts w:ascii="Arial" w:hAnsi="Arial"/>
          <w:color w:val="282828"/>
          <w:sz w:val="20"/>
        </w:rPr>
        <w:t>Trong trường hợp cần thiết phải xếp lịch học tập trung thời gian, số giờ giảng đối với một học phần bất kỳ không vượt quá 15 giờ/tuần và 4 giờ/ngày.</w:t>
      </w:r>
    </w:p>
    <w:p>
      <w:pPr>
        <w:spacing w:after="80" w:line="276" w:lineRule="auto"/>
      </w:pPr>
      <w:r>
        <w:rPr>
          <w:rFonts w:ascii="Arial" w:hAnsi="Arial"/>
          <w:color w:val="282828"/>
          <w:sz w:val="20"/>
        </w:rPr>
        <w:t>7. Phân bố giờ học a) Giờ của tiết học tại cơ sở 227 Nguyễn Văn Cừ:</w:t>
      </w:r>
    </w:p>
    <w:p>
      <w:pPr>
        <w:spacing w:after="80" w:line="276" w:lineRule="auto"/>
      </w:pPr>
      <w:r>
        <w:rPr>
          <w:rFonts w:ascii="Arial" w:hAnsi="Arial"/>
          <w:color w:val="282828"/>
          <w:sz w:val="20"/>
        </w:rPr>
        <w:t>Buổi sáng Buổi chiều Buổi tối Tiết 1: 6g40-7g30 Tiết 7: 12g30-13g20 Tiết 13:18g00-18g50 Tiết 2: 7g30-8g20 Tiết 8: 13g20-14g10 Tiết 14: 18g50-19g40 Tiết 3: 8g30-9g20 Tiết 9: 14g20-15g10 Tiết 15: 19g40-20g30 Tiết 4: 9g20-10g10 Tiết 10: 15g10-16g00 Tiết 5: 10g20-11g10 Tiết 11: 16g10-17g00 Tiết 6: 11g10-12g00 Tiết 12: 17g00-17g50 b) Giờ của tiết học tại cơ sở Linh Trung:</w:t>
      </w:r>
    </w:p>
    <w:p>
      <w:pPr>
        <w:spacing w:after="80" w:line="276" w:lineRule="auto"/>
      </w:pPr>
      <w:r>
        <w:rPr>
          <w:rFonts w:ascii="Arial" w:hAnsi="Arial"/>
          <w:color w:val="282828"/>
          <w:sz w:val="20"/>
        </w:rPr>
        <w:t>Buổi sáng Buổi chiều Tiết 1: 7g30-8g20 Tiết 6: 12g30-13g20 Tiết 2: 8g20-9g10 Tiết 7: 13g20-14g10 Tiết 3: 9g20-10g10 Tiết 8: 14g20-15g10 Tiết 4: 10g10-11g00 Tiết 9: 15g10-16g00 Tiết 5: 11g10-12g00 Tiết 10: 16g10-17g00</w:t>
      </w:r>
    </w:p>
    <w:p>
      <w:pPr>
        <w:spacing w:before="120" w:after="40"/>
      </w:pPr>
      <w:r>
        <w:rPr>
          <w:rFonts w:ascii="Arial" w:hAnsi="Arial"/>
          <w:b/>
          <w:color w:val="1E4678"/>
          <w:sz w:val="22"/>
        </w:rPr>
        <w:t>Điều 7.  Tổ chức đăng ký học tập</w:t>
      </w:r>
    </w:p>
    <w:p>
      <w:pPr>
        <w:spacing w:after="80" w:line="276" w:lineRule="auto"/>
      </w:pPr>
      <w:r>
        <w:rPr>
          <w:rFonts w:ascii="Arial" w:hAnsi="Arial"/>
          <w:color w:val="282828"/>
          <w:sz w:val="20"/>
        </w:rPr>
        <w:t>1. Đăng ký học phần:</w:t>
      </w:r>
    </w:p>
    <w:p>
      <w:pPr>
        <w:spacing w:after="80" w:line="276" w:lineRule="auto"/>
      </w:pPr>
      <w:r>
        <w:rPr>
          <w:rFonts w:ascii="Arial" w:hAnsi="Arial"/>
          <w:color w:val="282828"/>
          <w:sz w:val="20"/>
        </w:rPr>
        <w:t>a) Đầu mỗi học kỳ, sinh viên phải theo dõi thông báo để nắm thông tin về các học phần sẽ mở trong học kỳ và đăng ký các học phần trên trang thông tin điện tử của Phòng Đào tạo hoặc của Khoa.</w:t>
      </w:r>
    </w:p>
    <w:p>
      <w:pPr>
        <w:spacing w:after="80" w:line="276" w:lineRule="auto"/>
      </w:pPr>
      <w:r>
        <w:rPr>
          <w:rFonts w:ascii="Arial" w:hAnsi="Arial"/>
          <w:color w:val="282828"/>
          <w:sz w:val="20"/>
        </w:rPr>
        <w:t>b) Tổng số tín chỉ của các học phần trong một học kỳ được tính bao gồm: số tín chỉ của học phần đăng ký mới, học phần học lại và học phần cải thiện.</w:t>
      </w:r>
    </w:p>
    <w:p>
      <w:pPr>
        <w:spacing w:after="80" w:line="276" w:lineRule="auto"/>
      </w:pPr>
      <w:r>
        <w:rPr>
          <w:rFonts w:ascii="Arial" w:hAnsi="Arial"/>
          <w:color w:val="282828"/>
          <w:sz w:val="20"/>
        </w:rPr>
        <w:t>c) Kết quả đăng ký học tập của mỗi sinh viên được thông báo trong tài khoản sinh viên và trên trang thông tin điện tử của Trường. Kết quả đăng ký học phần ghi rõ tên học phần, mã học phần, mã lớp, số tín chỉ và lịch học của mỗi học phần.</w:t>
      </w:r>
    </w:p>
    <w:p>
      <w:pPr>
        <w:spacing w:after="80" w:line="276" w:lineRule="auto"/>
      </w:pPr>
      <w:r>
        <w:rPr>
          <w:rFonts w:ascii="Arial" w:hAnsi="Arial"/>
          <w:color w:val="282828"/>
          <w:sz w:val="20"/>
        </w:rPr>
        <w:t>d) Sinh viên không tham gia học các học phần đã đăng ký được xem như tự ý bỏ học và phải nhận điểm không (điểm 0).</w:t>
      </w:r>
    </w:p>
    <w:p>
      <w:pPr>
        <w:spacing w:after="80" w:line="276" w:lineRule="auto"/>
      </w:pPr>
      <w:r>
        <w:rPr>
          <w:rFonts w:ascii="Arial" w:hAnsi="Arial"/>
          <w:color w:val="282828"/>
          <w:sz w:val="20"/>
        </w:rPr>
        <w:t>2. Số tín chỉ tối thiểu, tối đa trong học kỳ a) Số tín chỉ đăng ký học tối thiểu trong học kỳ:</w:t>
      </w:r>
    </w:p>
    <w:p>
      <w:pPr>
        <w:spacing w:after="80" w:line="276" w:lineRule="auto"/>
      </w:pPr>
      <w:r>
        <w:rPr>
          <w:rFonts w:ascii="Arial" w:hAnsi="Arial"/>
          <w:color w:val="282828"/>
          <w:sz w:val="20"/>
        </w:rPr>
        <w:t>Đối với chương trình Tiên tiến, Liên kết, Chất lượng cao:  tối thiểu là 10 tín chỉ.</w:t>
      </w:r>
    </w:p>
    <w:p>
      <w:pPr>
        <w:spacing w:after="80" w:line="276" w:lineRule="auto"/>
      </w:pPr>
      <w:r>
        <w:rPr>
          <w:rFonts w:ascii="Arial" w:hAnsi="Arial"/>
          <w:color w:val="282828"/>
          <w:sz w:val="20"/>
        </w:rPr>
        <w:t>Đối với chương trình đại trà: tối thiểu là 14 tín chỉ (không kể Giáo dục quốc phòng, Giáo dục thể chất và Ngoại ngữ tổng quát).</w:t>
      </w:r>
    </w:p>
    <w:p>
      <w:pPr>
        <w:spacing w:after="80" w:line="276" w:lineRule="auto"/>
      </w:pPr>
      <w:r>
        <w:rPr>
          <w:rFonts w:ascii="Arial" w:hAnsi="Arial"/>
          <w:color w:val="282828"/>
          <w:sz w:val="20"/>
        </w:rPr>
        <w:t>b) Số tín chỉ đăng ký học tối đa trong học kỳ chính:</w:t>
      </w:r>
    </w:p>
    <w:p>
      <w:pPr>
        <w:spacing w:after="80" w:line="276" w:lineRule="auto"/>
      </w:pPr>
      <w:r>
        <w:rPr>
          <w:rFonts w:ascii="Arial" w:hAnsi="Arial"/>
          <w:color w:val="282828"/>
          <w:sz w:val="20"/>
        </w:rPr>
        <w:t>Đối với chương trình Tiên tiến, Liên kết, Chất lượng cao:  tối đa là 22 tín chỉ.</w:t>
      </w:r>
    </w:p>
    <w:p>
      <w:pPr>
        <w:spacing w:after="80" w:line="276" w:lineRule="auto"/>
      </w:pPr>
      <w:r>
        <w:rPr>
          <w:rFonts w:ascii="Arial" w:hAnsi="Arial"/>
          <w:color w:val="282828"/>
          <w:sz w:val="20"/>
        </w:rPr>
        <w:t>Đối với chương trình đại trà: tối đa là 25 tín chỉ.</w:t>
      </w:r>
    </w:p>
    <w:p>
      <w:pPr>
        <w:spacing w:after="80" w:line="276" w:lineRule="auto"/>
      </w:pPr>
      <w:r>
        <w:rPr>
          <w:rFonts w:ascii="Arial" w:hAnsi="Arial"/>
          <w:color w:val="282828"/>
          <w:sz w:val="20"/>
        </w:rPr>
        <w:t>Số tín chỉ đăng ký học tối đa trong học kỳ hè là 12 tín chỉ Trong trường hợp đặc biệt sinh viên muốn đăng ký vượt quá số tín chỉ tối đa hoặc ít hơn số tín chỉ tối thiểu trong một học kỳ thì phải có đơn đề nghị, được Khoa đồng ý và Hiệu trưởng chấp thuận.</w:t>
      </w:r>
    </w:p>
    <w:p>
      <w:pPr>
        <w:spacing w:after="80" w:line="276" w:lineRule="auto"/>
      </w:pPr>
      <w:r>
        <w:rPr>
          <w:rFonts w:ascii="Arial" w:hAnsi="Arial"/>
          <w:color w:val="282828"/>
          <w:sz w:val="20"/>
        </w:rPr>
        <w:t>c) Đối với sinh viên học cùng lúc hai chương trình, tổng số tín chỉ đăng ký tối đa cho mỗi học kỳ chính là 37, mỗi học kỳ hè không vượt quá 15.</w:t>
      </w:r>
    </w:p>
    <w:p>
      <w:pPr>
        <w:spacing w:after="80" w:line="276" w:lineRule="auto"/>
      </w:pPr>
      <w:r>
        <w:rPr>
          <w:rFonts w:ascii="Arial" w:hAnsi="Arial"/>
          <w:color w:val="282828"/>
          <w:sz w:val="20"/>
        </w:rPr>
        <w:t>3. Điều chỉnh đăng ký học phần: theo kế hoạch điều chỉnh đăng ký học phần tại mỗi học kỳ.</w:t>
      </w:r>
    </w:p>
    <w:p>
      <w:pPr>
        <w:spacing w:after="80" w:line="276" w:lineRule="auto"/>
      </w:pPr>
      <w:r>
        <w:rPr>
          <w:rFonts w:ascii="Arial" w:hAnsi="Arial"/>
          <w:color w:val="282828"/>
          <w:sz w:val="20"/>
        </w:rPr>
        <w:t>4. Trách nhiệm của sinh viên:</w:t>
      </w:r>
    </w:p>
    <w:p>
      <w:pPr>
        <w:spacing w:after="80" w:line="276" w:lineRule="auto"/>
      </w:pPr>
      <w:r>
        <w:rPr>
          <w:rFonts w:ascii="Arial" w:hAnsi="Arial"/>
          <w:color w:val="282828"/>
          <w:sz w:val="20"/>
        </w:rPr>
        <w:t>a) Chủ động theo dõi kết quả đăng ký học phần để xác nhận hoặc điều chỉnh nếu có.</w:t>
      </w:r>
    </w:p>
    <w:p>
      <w:pPr>
        <w:spacing w:after="80" w:line="276" w:lineRule="auto"/>
      </w:pPr>
      <w:r>
        <w:rPr>
          <w:rFonts w:ascii="Arial" w:hAnsi="Arial"/>
          <w:color w:val="282828"/>
          <w:sz w:val="20"/>
        </w:rPr>
        <w:t>b) Thực hiện đầy đủ các yêu cầu như lên lớp, làm bài tập, thực hành, thí nghiệm, tham gia thảo luận, dự kiểm tra thường kỳ và thi kết thúc học phần.</w:t>
      </w:r>
    </w:p>
    <w:p>
      <w:pPr>
        <w:spacing w:before="120" w:after="40"/>
      </w:pPr>
      <w:r>
        <w:rPr>
          <w:rFonts w:ascii="Arial" w:hAnsi="Arial"/>
          <w:b/>
          <w:color w:val="1E4678"/>
          <w:sz w:val="22"/>
        </w:rPr>
        <w:t>Điều 8.  Tổ chức giảng dạy và học tập</w:t>
      </w:r>
    </w:p>
    <w:p>
      <w:pPr>
        <w:spacing w:after="80" w:line="276" w:lineRule="auto"/>
      </w:pPr>
      <w:r>
        <w:rPr>
          <w:rFonts w:ascii="Arial" w:hAnsi="Arial"/>
          <w:color w:val="282828"/>
          <w:sz w:val="20"/>
        </w:rPr>
        <w:t>1. Yêu cầu về tổ chức giảng dạy và học tập:</w:t>
      </w:r>
    </w:p>
    <w:p>
      <w:pPr>
        <w:spacing w:after="80" w:line="276" w:lineRule="auto"/>
      </w:pPr>
      <w:r>
        <w:rPr>
          <w:rFonts w:ascii="Arial" w:hAnsi="Arial"/>
          <w:color w:val="282828"/>
          <w:sz w:val="20"/>
        </w:rPr>
        <w:t>a) Phát huy năng lực chuyên môn và trách nhiệm nghề nghiệp của đội ngũ giảng viên, phù hợp với quy định về chế độ làm việc của giảng viên; b) Phát huy vai trò chủ động đồng thời đề cao trách nhiệm của sinh viên, tạo điều kiện và động lực để sinh viên nỗ lực học tập; giữ vững kỷ cương học đường, nâng cao chất lượng và hiệu quả đào tạo; c) Có cơ chế thanh tra, giám sát nội bộ và có hệ thống cải tiến chất lượng dựa trên thu thập, đánh giá ý kiến phản hồi của người học.</w:t>
      </w:r>
    </w:p>
    <w:p>
      <w:pPr>
        <w:spacing w:after="80" w:line="276" w:lineRule="auto"/>
      </w:pPr>
      <w:r>
        <w:rPr>
          <w:rFonts w:ascii="Arial" w:hAnsi="Arial"/>
          <w:color w:val="282828"/>
          <w:sz w:val="20"/>
        </w:rPr>
        <w:t>2. Dạy và học trực tuyến:</w:t>
      </w:r>
    </w:p>
    <w:p>
      <w:pPr>
        <w:spacing w:after="80" w:line="276" w:lineRule="auto"/>
      </w:pPr>
      <w:r>
        <w:rPr>
          <w:rFonts w:ascii="Arial" w:hAnsi="Arial"/>
          <w:color w:val="282828"/>
          <w:sz w:val="20"/>
        </w:rPr>
        <w:t>a) Hiệu trưởng quyết định tổ chức các lớp học theo phương thức trực tuyến khi đáp ứng các điều kiện theo quy định hiện hành.</w:t>
      </w:r>
    </w:p>
    <w:p>
      <w:pPr>
        <w:spacing w:after="80" w:line="276" w:lineRule="auto"/>
      </w:pPr>
      <w:r>
        <w:rPr>
          <w:rFonts w:ascii="Arial" w:hAnsi="Arial"/>
          <w:color w:val="282828"/>
          <w:sz w:val="20"/>
        </w:rPr>
        <w:t>b) Đối với đào tạo theo hình thức chính quy, tối đa 30% tổng khối lượng của chương trình đào tạo được thực hiện bằng lớp học trực tuyến. Trong trường hợp thiên tai, dịch bệnh phức tạp và các trường hợp bất khả kháng khác, cơ sở đào tạo thực hiện theo hướng dẫn của Bộ Giáo dục và Đào tạo và ĐHQG-HCM.</w:t>
      </w:r>
    </w:p>
    <w:p>
      <w:pPr>
        <w:spacing w:after="80" w:line="276" w:lineRule="auto"/>
      </w:pPr>
      <w:r>
        <w:rPr>
          <w:rFonts w:ascii="Arial" w:hAnsi="Arial"/>
          <w:color w:val="282828"/>
          <w:sz w:val="20"/>
        </w:rPr>
        <w:t>3. Tổ chức lớp học a) Lớp học phần: là lớp học bao gồm những sinh viên theo học cùng một học phần trong cùng một khoảng thời gian và cùng một giảng viên tạo thành một lớp học phần. Mỗi lớp học phần được ký hiệu bằng một mã số riêng do trường quy định. Hiệu trưởng quy định số lượng tối thiểu, tối đa cho mỗi lớp học phần tùy theo từng loại học phần. Nếu số lượng sinh viên đăng ký thấp hơn số lượng tối thiểu thì lớp học sẽ không được tổ chức.</w:t>
      </w:r>
    </w:p>
    <w:p>
      <w:pPr>
        <w:spacing w:after="80" w:line="276" w:lineRule="auto"/>
      </w:pPr>
      <w:r>
        <w:rPr>
          <w:rFonts w:ascii="Arial" w:hAnsi="Arial"/>
          <w:color w:val="282828"/>
          <w:sz w:val="20"/>
        </w:rPr>
        <w:t>b) Lớp sinh hoạt: bao gồm những sinh viên cùng khóa tuyển, cùng ngành và cùng chương trình đào tạo được tổ chức thành một lớp sinh hoạt, số lượng sinh viên của mỗi lớp sinh hoạt theo quy định về quản lý sinh viên.</w:t>
      </w:r>
    </w:p>
    <w:p>
      <w:pPr>
        <w:spacing w:after="80" w:line="276" w:lineRule="auto"/>
      </w:pPr>
      <w:r>
        <w:rPr>
          <w:rFonts w:ascii="Arial" w:hAnsi="Arial"/>
          <w:color w:val="282828"/>
          <w:sz w:val="20"/>
        </w:rPr>
        <w:t>3. Các quy định về tổ chức đào tạo a) Hiệu trưởng ban hành quy định về triển khai công tác đào tạo bậc đại học hệ chính quy các chương trình.</w:t>
      </w:r>
    </w:p>
    <w:p>
      <w:pPr>
        <w:spacing w:after="80" w:line="276" w:lineRule="auto"/>
      </w:pPr>
      <w:r>
        <w:rPr>
          <w:rFonts w:ascii="Arial" w:hAnsi="Arial"/>
          <w:color w:val="282828"/>
          <w:sz w:val="20"/>
        </w:rPr>
        <w:t>b) Hiệu trưởng ban hành quy định về việc lấy ý kiến phản hồi của người học về các điều kiện bảo đảm chất lượng, hiệu quả học tập đối với tất cả các lớp học của cơ sở đào tạo và việc công khai ý kiến phản hồi của người học, bao gồm nội dung, mức độ, hình thức công khai.</w:t>
      </w:r>
    </w:p>
    <w:p>
      <w:pPr>
        <w:spacing w:after="80" w:line="276" w:lineRule="auto"/>
      </w:pPr>
      <w:r>
        <w:rPr>
          <w:rFonts w:ascii="Arial" w:hAnsi="Arial"/>
          <w:color w:val="282828"/>
          <w:sz w:val="20"/>
        </w:rPr>
        <w:t>Chương III</w:t>
      </w:r>
    </w:p>
    <w:p>
      <w:pPr>
        <w:spacing w:before="120" w:after="40"/>
      </w:pPr>
      <w:r>
        <w:rPr>
          <w:rFonts w:ascii="Arial" w:hAnsi="Arial"/>
          <w:b/>
          <w:color w:val="1E4678"/>
          <w:sz w:val="22"/>
        </w:rPr>
        <w:t>ĐÁNH GIÁ KẾT QUẢ HỌC TẬP VÀ CẤP BẰNG TỐT NGHIỆP</w:t>
      </w:r>
    </w:p>
    <w:p>
      <w:pPr>
        <w:spacing w:before="120" w:after="40"/>
      </w:pPr>
      <w:r>
        <w:rPr>
          <w:rFonts w:ascii="Arial" w:hAnsi="Arial"/>
          <w:b/>
          <w:color w:val="1E4678"/>
          <w:sz w:val="22"/>
        </w:rPr>
        <w:t>Điều 9.  Đánh giá học phần</w:t>
      </w:r>
    </w:p>
    <w:p>
      <w:pPr>
        <w:spacing w:after="80" w:line="276" w:lineRule="auto"/>
      </w:pPr>
      <w:r>
        <w:rPr>
          <w:rFonts w:ascii="Arial" w:hAnsi="Arial"/>
          <w:color w:val="282828"/>
          <w:sz w:val="20"/>
        </w:rPr>
        <w:t>1. Đối với mỗi học phần (ngoại trừ khóa luận tốt nghiệp/thực tập tốt nghiệp/đồ án tốt nghiệp/tốt nghiệp/dự án tốt nghiệp), sinh viên được đánh giá tối thiểu bằng tổng của hai điểm thành phần bao gồm: điểm quá trình và điểm thi kết thúc học phần (điểm thi cuối học kỳ). Các điểm thành phần được đánh giá theo thang điểm 10. Phương pháp đánh giá, hình thức đánh giá và trọng số của mỗi điểm thành phần được quy định trong đề cương chi tiết của mỗi học phần, được Khoa thông qua và được Hiệu trưởng phê duyệt. Điểm quá trình và điểm thi kết thúc học phần được quy định như sau:</w:t>
      </w:r>
    </w:p>
    <w:p>
      <w:pPr>
        <w:spacing w:after="80" w:line="276" w:lineRule="auto"/>
      </w:pPr>
      <w:r>
        <w:rPr>
          <w:rFonts w:ascii="Arial" w:hAnsi="Arial"/>
          <w:color w:val="282828"/>
          <w:sz w:val="20"/>
        </w:rPr>
        <w:t>a) Điểm quá trình chiếm tỉ trọng từ 50% đến 60% bao gồm tối thiểu ba trong số các hình thức sau đây: điểm kiểm tra thường xuyên trong quá trình học tập; điểm đánh giá tham gia thảo luận; điểm tổng hợp đánh giá các bài thực hành/thực tập; điểm bài tập lớn; điểm chuyên cần; điểm kiểm tra giữa học kỳ; điểm báo cáo seminar.</w:t>
      </w:r>
    </w:p>
    <w:p>
      <w:pPr>
        <w:spacing w:after="80" w:line="276" w:lineRule="auto"/>
      </w:pPr>
      <w:r>
        <w:rPr>
          <w:rFonts w:ascii="Arial" w:hAnsi="Arial"/>
          <w:color w:val="282828"/>
          <w:sz w:val="20"/>
        </w:rPr>
        <w:t>b) Điểm thi kết thúc học phần (điểm thi cuối học kỳ) chiếm tỷ trọng còn lại (không dưới 40%). Hình thức thi kết thúc học phần có thể là: thi viết (trắc nghiệm hoặc tự luận); thi vấn đáp; báo cáo chuyên đề/tiểu luận/đồ án; được tổ chức trực tiếp tại Trường theo quy định. Trong trường hợp bất khả kháng do thiên tai hoặc dịch bệnh, đánh giá cuối học kỳ theo hình thức thi viết có thể được tổ chức bằng phương thức trực tuyến; Hiệu trưởng quyết định lựa chọn đánh giá cuối học kỳ bằng phương thức trực tuyến thay cho phương thức trực tiếp theo quy định, bảo đảm trung thực, công bằng và khách quan như khi đánh giá trực tiếp.</w:t>
      </w:r>
    </w:p>
    <w:p>
      <w:pPr>
        <w:spacing w:after="80" w:line="276" w:lineRule="auto"/>
      </w:pPr>
      <w:r>
        <w:rPr>
          <w:rFonts w:ascii="Arial" w:hAnsi="Arial"/>
          <w:color w:val="282828"/>
          <w:sz w:val="20"/>
        </w:rPr>
        <w:t>2. Đối với loại học phần thực hành: sinh viên phải tham dự đầy đủ các bài thực hành. Điểm tổng hợp đánh giá học phần là các điểm thành phần bao gồm: điểm các bài thực hành trong học kỳ, điểm chuyên cần, điểm bài thi thực hành cuối kỳ.</w:t>
      </w:r>
    </w:p>
    <w:p>
      <w:pPr>
        <w:spacing w:after="80" w:line="276" w:lineRule="auto"/>
      </w:pPr>
      <w:r>
        <w:rPr>
          <w:rFonts w:ascii="Arial" w:hAnsi="Arial"/>
          <w:color w:val="282828"/>
          <w:sz w:val="20"/>
        </w:rPr>
        <w:t>3. Việc tổ chức thi, kiểm tra, thời gian thi, việc làm đề thi, coi thi, chấm thi, phúc tra, bảo quản bài thi sẽ được công bố tại quy định về công tác khảo thí của Trường.</w:t>
      </w:r>
    </w:p>
    <w:p>
      <w:pPr>
        <w:spacing w:before="120" w:after="40"/>
      </w:pPr>
      <w:r>
        <w:rPr>
          <w:rFonts w:ascii="Arial" w:hAnsi="Arial"/>
          <w:b/>
          <w:color w:val="1E4678"/>
          <w:sz w:val="22"/>
        </w:rPr>
        <w:t>Điều 10.  Đánh giá đồ án tốt nghiệp, khóa luận tốt nghiệp/thực tập tốt</w:t>
      </w:r>
    </w:p>
    <w:p>
      <w:pPr>
        <w:spacing w:after="80" w:line="276" w:lineRule="auto"/>
      </w:pPr>
      <w:r>
        <w:rPr>
          <w:rFonts w:ascii="Arial" w:hAnsi="Arial"/>
          <w:color w:val="282828"/>
          <w:sz w:val="20"/>
        </w:rPr>
        <w:t>nghiệp/dự án tốt nghiệp</w:t>
      </w:r>
    </w:p>
    <w:p>
      <w:pPr>
        <w:spacing w:after="80" w:line="276" w:lineRule="auto"/>
      </w:pPr>
      <w:r>
        <w:rPr>
          <w:rFonts w:ascii="Arial" w:hAnsi="Arial"/>
          <w:color w:val="282828"/>
          <w:sz w:val="20"/>
        </w:rPr>
        <w:t>1. Xét làm khóa luận tốt nghiệp, đồ án tốt nghiệp Vào đầu học kỳ cuối khoá học, căn cứ vào nguyện vọng của sinh viên và quy định của Khoa phụ trách đào tạo, Hội đồng Khoa xét và lập danh sách sinh viên được làm đồ án tốt nghiệp hoặc khóa luận tốt nghiệp/thực tập tốt nghiệp/dự án tốt nghiệp (sau đây gọi chung là khóa luận tốt nghiệp) như sau:</w:t>
      </w:r>
    </w:p>
    <w:p>
      <w:pPr>
        <w:spacing w:after="80" w:line="276" w:lineRule="auto"/>
      </w:pPr>
      <w:r>
        <w:rPr>
          <w:rFonts w:ascii="Arial" w:hAnsi="Arial"/>
          <w:color w:val="282828"/>
          <w:sz w:val="20"/>
        </w:rPr>
        <w:t>a) Làm khoá luận tốt nghiệp có khối lượng 10 tín chỉ.</w:t>
      </w:r>
    </w:p>
    <w:p>
      <w:pPr>
        <w:spacing w:after="80" w:line="276" w:lineRule="auto"/>
      </w:pPr>
      <w:r>
        <w:rPr>
          <w:rFonts w:ascii="Arial" w:hAnsi="Arial"/>
          <w:color w:val="282828"/>
          <w:sz w:val="20"/>
        </w:rPr>
        <w:t>b) Làm đồ án tốt nghiệp và học một số học phần chuyên ngành định hướng nghề nghiệp có khối lượng tổng cộng 10 tín chỉ.</w:t>
      </w:r>
    </w:p>
    <w:p>
      <w:pPr>
        <w:spacing w:after="80" w:line="276" w:lineRule="auto"/>
      </w:pPr>
      <w:r>
        <w:rPr>
          <w:rFonts w:ascii="Arial" w:hAnsi="Arial"/>
          <w:color w:val="282828"/>
          <w:sz w:val="20"/>
        </w:rPr>
        <w:t>c) Chọn học một số học phần chuyên ngành định hướng nghề nghiệp có khối lượng tổng cộng 10 tín chỉ theo quy định của chương trình đào tạo.</w:t>
      </w:r>
    </w:p>
    <w:p>
      <w:pPr>
        <w:spacing w:after="80" w:line="276" w:lineRule="auto"/>
      </w:pPr>
      <w:r>
        <w:rPr>
          <w:rFonts w:ascii="Arial" w:hAnsi="Arial"/>
          <w:color w:val="282828"/>
          <w:sz w:val="20"/>
        </w:rPr>
        <w:t>d) Điều kiện làm khóa luận hoặc đồ án tốt nghiệp dựa vào các tiêu chí như sau:</w:t>
      </w:r>
    </w:p>
    <w:p>
      <w:pPr>
        <w:spacing w:after="80" w:line="276" w:lineRule="auto"/>
      </w:pPr>
      <w:r>
        <w:rPr>
          <w:rFonts w:ascii="Arial" w:hAnsi="Arial"/>
          <w:color w:val="282828"/>
          <w:sz w:val="20"/>
        </w:rPr>
        <w:t>Điểm trung bình tích lũy của khóa học.</w:t>
      </w:r>
    </w:p>
    <w:p>
      <w:pPr>
        <w:spacing w:after="80" w:line="276" w:lineRule="auto"/>
      </w:pPr>
      <w:r>
        <w:rPr>
          <w:rFonts w:ascii="Arial" w:hAnsi="Arial"/>
          <w:color w:val="282828"/>
          <w:sz w:val="20"/>
        </w:rPr>
        <w:t>Tiêu chí khác theo quy định của Khoa phụ trách đào tạo.</w:t>
      </w:r>
    </w:p>
    <w:p>
      <w:pPr>
        <w:spacing w:after="80" w:line="276" w:lineRule="auto"/>
      </w:pPr>
      <w:r>
        <w:rPr>
          <w:rFonts w:ascii="Arial" w:hAnsi="Arial"/>
          <w:color w:val="282828"/>
          <w:sz w:val="20"/>
        </w:rPr>
        <w:t>2. Sinh viên thực hiện khóa luận tốt nghiệp và đồ án tốt nghiệp trong thời gian là một học kỳ tại học kỳ cuối cùng của khóa học. Tuỳ đặc điểm của ngành đào tạo, sinh viên làm khóa luận tốt nghiệp có thể được giao đề tài sớm hơn.</w:t>
      </w:r>
    </w:p>
    <w:p>
      <w:pPr>
        <w:spacing w:after="80" w:line="276" w:lineRule="auto"/>
      </w:pPr>
      <w:r>
        <w:rPr>
          <w:rFonts w:ascii="Arial" w:hAnsi="Arial"/>
          <w:color w:val="282828"/>
          <w:sz w:val="20"/>
        </w:rPr>
        <w:t>3. Đánh giá khóa luận tốt nghiệp, đồ án tốt nghiệp a) Đánh giá đồ án tốt nghiệp, khóa luận tốt nghiệp được thực hiện bởi Hội đồng đánh giá đồ án tốt nghiệp, khóa luận tốt nghiệp (sau đây gọi tắt là Hội đồng đánh giá).</w:t>
      </w:r>
    </w:p>
    <w:p>
      <w:pPr>
        <w:spacing w:after="80" w:line="276" w:lineRule="auto"/>
      </w:pPr>
      <w:r>
        <w:rPr>
          <w:rFonts w:ascii="Arial" w:hAnsi="Arial"/>
          <w:color w:val="282828"/>
          <w:sz w:val="20"/>
        </w:rPr>
        <w:t>b) Hội đồng đánh giá do Hiệu trưởng ký quyết định thành lập trên cơ sở đề nghị của Khoa phụ trách đào tạo. Hội đồng đánh giá khóa luận tốt nghiệp gồm 05 thành viên, Hội đồng đánh giá đồ án tốt nghiệp gồm 03 thành viên gồm:</w:t>
      </w:r>
    </w:p>
    <w:p>
      <w:pPr>
        <w:spacing w:after="80" w:line="276" w:lineRule="auto"/>
      </w:pPr>
      <w:r>
        <w:rPr>
          <w:rFonts w:ascii="Arial" w:hAnsi="Arial"/>
          <w:color w:val="282828"/>
          <w:sz w:val="20"/>
        </w:rPr>
        <w:t>01 chủ tịch, 01 thư ký và các ủy viên. Thành viên của Hội đồng đánh giá là giảng viên của trường hoặc có thể mời những người có chuyên môn phù hợp ở ngoài trường.</w:t>
      </w:r>
    </w:p>
    <w:p>
      <w:pPr>
        <w:spacing w:after="80" w:line="276" w:lineRule="auto"/>
      </w:pPr>
      <w:r>
        <w:rPr>
          <w:rFonts w:ascii="Arial" w:hAnsi="Arial"/>
          <w:color w:val="282828"/>
          <w:sz w:val="20"/>
        </w:rPr>
        <w:t>c) Điểm đánh giá khóa luận tốt nghiệp, đồ án tốt nghiệp được đánh giá theo thang điểm 10. Điểm tổng kết đánh giá khóa luận tốt nghiệp, đồ án tốt nghiệp được làm tròn tới một chữ số thập phân, là điểm trung bình cộng không tính hệ số của tất cả thành viên bao gồm: thành viên Hội đồng, người hướng dẫn và người phản biện. Nếu các Khoa có quy định khác về điểm tổng kết đánh giá khóa luận tốt nghiệp, đồ án tốt nghiệp so với cách tính này thì quy định về cách tính điểm này của Khoa phải được đề xuất bằng văn bản và được Hiệu trưởng phê duyệt.</w:t>
      </w:r>
    </w:p>
    <w:p>
      <w:pPr>
        <w:spacing w:after="80" w:line="276" w:lineRule="auto"/>
      </w:pPr>
      <w:r>
        <w:rPr>
          <w:rFonts w:ascii="Arial" w:hAnsi="Arial"/>
          <w:color w:val="282828"/>
          <w:sz w:val="20"/>
        </w:rPr>
        <w:t>d) Kết quả đánh giá khóa luận tốt nghiệp, đồ án tốt nghiệp phải được công bố ngay sau buổi bảo vệ, được tính vào điểm trung bình và trung bình tích lũy theo tổng số tín chỉ của khóa luận tốt nghiệp/đồ án tốt nghiệp.</w:t>
      </w:r>
    </w:p>
    <w:p>
      <w:pPr>
        <w:spacing w:after="80" w:line="276" w:lineRule="auto"/>
      </w:pPr>
      <w:r>
        <w:rPr>
          <w:rFonts w:ascii="Arial" w:hAnsi="Arial"/>
          <w:color w:val="282828"/>
          <w:sz w:val="20"/>
        </w:rPr>
        <w:t>a) Tổ chức bảo vệ và đánh giá khóa luận tốt nghiệp, đồ án tốt nghiệp được thực hiện trực tuyến trong trường hợp bất khả kháng do thiên tai hoặc dịch bệnh, Hiệu trưởng quyết định cho phép tổ chức bảo vệ và đánh giá đồ án tốt nghiệp, khóa luận tốt nghiệp theo phương thức trực tuyến thay cho phương thức trực tiếp. Hướng dẫn tổ chức bảo vệ và đánh giá đồ án tốt nghiệp, khóa luận tốt nghiệp theo phục lục 1 đính kèm.</w:t>
      </w:r>
    </w:p>
    <w:p>
      <w:pPr>
        <w:spacing w:before="120" w:after="40"/>
      </w:pPr>
      <w:r>
        <w:rPr>
          <w:rFonts w:ascii="Arial" w:hAnsi="Arial"/>
          <w:b/>
          <w:color w:val="1E4678"/>
          <w:sz w:val="22"/>
        </w:rPr>
        <w:t>Điều 11.  Tính điểm học phần</w:t>
      </w:r>
    </w:p>
    <w:p>
      <w:pPr>
        <w:spacing w:after="80" w:line="276" w:lineRule="auto"/>
      </w:pPr>
      <w:r>
        <w:rPr>
          <w:rFonts w:ascii="Arial" w:hAnsi="Arial"/>
          <w:color w:val="282828"/>
          <w:sz w:val="20"/>
        </w:rPr>
        <w:t>1. Điểm học phần theo thang điểm 10, là điểm cuối cùng để đánh giá kết quả của một học phần, được tính từ tổng các điểm thành phần nhân với trọng số tương ứng, được làm tròn tới một chữ số thập phân và được quy đổi theo thang điểm 4 và thang điểm chữ như sau:</w:t>
      </w:r>
    </w:p>
    <w:p>
      <w:pPr>
        <w:spacing w:after="80" w:line="276" w:lineRule="auto"/>
      </w:pPr>
      <w:r>
        <w:rPr>
          <w:rFonts w:ascii="Arial" w:hAnsi="Arial"/>
          <w:color w:val="282828"/>
          <w:sz w:val="20"/>
        </w:rPr>
        <w:t>Thang điểm 10 Điểm 4 Điểm chữ 9,0 đến 10,0 4,0 8,0 đến cận 9,0 3,5 7,0 đến cận 8,0 3,0 6,0 đến cận 7,0 2,5 5,0 đến cận 6,0 2,0 4,0 đến cận 5,0 1,5 3,0 đến cận 4,0 1,0 &lt;3,0 0,0</w:t>
      </w:r>
    </w:p>
    <w:p>
      <w:pPr>
        <w:spacing w:after="80" w:line="276" w:lineRule="auto"/>
      </w:pPr>
      <w:r>
        <w:rPr>
          <w:rFonts w:ascii="Arial" w:hAnsi="Arial"/>
          <w:color w:val="282828"/>
          <w:sz w:val="20"/>
        </w:rPr>
        <w:t>2. Thang điểm 4 và thang điểm chữ chỉ mang tính tham khảo, chuyển đổi khi cần thiết, không dùng để ghi và phân loại đánh giá.</w:t>
      </w:r>
    </w:p>
    <w:p>
      <w:pPr>
        <w:spacing w:after="80" w:line="276" w:lineRule="auto"/>
      </w:pPr>
      <w:r>
        <w:rPr>
          <w:rFonts w:ascii="Arial" w:hAnsi="Arial"/>
          <w:color w:val="282828"/>
          <w:sz w:val="20"/>
        </w:rPr>
        <w:t>3. Đối với các học phần đã hoàn tất đăng ký, sinh viên có trách nhiệm thực hiện đầy đủ và nghiêm túc mọi yêu cầu của giảng viên về việc lên lớp, làm bài tập, thực hành, thí nghiệm, tham gia thảo luận, tham dự kiểm tra giữa học kỳ và thi kết thúc học phần. Nếu không thực hiện phần việc nào, sinh viên sẽ nhận điểm không (0) cho điểm thành phần tương ứng.</w:t>
      </w:r>
    </w:p>
    <w:p>
      <w:pPr>
        <w:spacing w:after="80" w:line="276" w:lineRule="auto"/>
      </w:pPr>
      <w:r>
        <w:rPr>
          <w:rFonts w:ascii="Arial" w:hAnsi="Arial"/>
          <w:color w:val="282828"/>
          <w:sz w:val="20"/>
        </w:rPr>
        <w:t>4. Học phần có điểm từ 5,0 (năm) trở lên được xem là học phần đạt, số tín chỉ của học phần này được tính là số tín chỉ tích lũy.</w:t>
      </w:r>
    </w:p>
    <w:p>
      <w:pPr>
        <w:spacing w:after="80" w:line="276" w:lineRule="auto"/>
      </w:pPr>
      <w:r>
        <w:rPr>
          <w:rFonts w:ascii="Arial" w:hAnsi="Arial"/>
          <w:color w:val="282828"/>
          <w:sz w:val="20"/>
        </w:rPr>
        <w:t>5. Sinh viên vắng mặt trong buổi thi, đánh giá không có lý do chính đáng phải nhận điểm 0 (không) đối với điểm thành phần/hình thức kiểm tra tương ứng. Trường hợp sinh viên vắng mặt trong buổi thi cuối học kỳ nhưng có nộp đơn xin phép vắng thi và có lý do chính đáng sẽ được hoãn thi theo quy định tại Điều 12 của quy chế này.</w:t>
      </w:r>
    </w:p>
    <w:p>
      <w:pPr>
        <w:spacing w:before="120" w:after="40"/>
      </w:pPr>
      <w:r>
        <w:rPr>
          <w:rFonts w:ascii="Arial" w:hAnsi="Arial"/>
          <w:b/>
          <w:color w:val="1E4678"/>
          <w:sz w:val="22"/>
        </w:rPr>
        <w:t>Điều 12.  Hoãn thi</w:t>
      </w:r>
    </w:p>
    <w:p>
      <w:pPr>
        <w:spacing w:after="80" w:line="276" w:lineRule="auto"/>
      </w:pPr>
      <w:r>
        <w:rPr>
          <w:rFonts w:ascii="Arial" w:hAnsi="Arial"/>
          <w:color w:val="282828"/>
          <w:sz w:val="20"/>
        </w:rPr>
        <w:t>1. Những trường hợp đột xuất và có lý do chính đáng (ví dụ như: ốm đau, tai nạn, hoàn cảnh khó khăn đột xuất) không thể dự thi cuối học kỳ, sinh viên sẽ được xem xét giải quyết cho hoãn thi.</w:t>
      </w:r>
    </w:p>
    <w:p>
      <w:pPr>
        <w:spacing w:after="80" w:line="276" w:lineRule="auto"/>
      </w:pPr>
      <w:r>
        <w:rPr>
          <w:rFonts w:ascii="Arial" w:hAnsi="Arial"/>
          <w:color w:val="282828"/>
          <w:sz w:val="20"/>
        </w:rPr>
        <w:t>2. Điểm của học phần hoãn thi được ký hiệu I (điểm I). Để được nhận điểm I, sinh viên phải hoàn tất học phí học kỳ và nộp đơn trình bày rõ lý do xin hoãn thi học phần cùng các giấy tờ xác nhận cần thiết cho Phòng đào tạo trong vòng 05 ngày làm việc kể từ ngày thi để được xem xét.</w:t>
      </w:r>
    </w:p>
    <w:p>
      <w:pPr>
        <w:spacing w:after="80" w:line="276" w:lineRule="auto"/>
      </w:pPr>
      <w:r>
        <w:rPr>
          <w:rFonts w:ascii="Arial" w:hAnsi="Arial"/>
          <w:color w:val="282828"/>
          <w:sz w:val="20"/>
        </w:rPr>
        <w:t>3. Sinh viên sẽ không bị điểm không (0) đối với học phần được xét nhận điểm I ở học kỳ đó. Sinh viên phải nộp đơn đăng ký học lại học phần hoãn thi trong vòng một năm học tiếp theo. Sinh viên không phải đóng học phí học phần được điểm I khi được xét đăng ký học lại học phần này.</w:t>
      </w:r>
    </w:p>
    <w:p>
      <w:pPr>
        <w:spacing w:after="80" w:line="276" w:lineRule="auto"/>
      </w:pPr>
      <w:r>
        <w:rPr>
          <w:rFonts w:ascii="Arial" w:hAnsi="Arial"/>
          <w:color w:val="282828"/>
          <w:sz w:val="20"/>
        </w:rPr>
        <w:t>4. Đối với kiểm tra lấy điểm quá trình, trong trường hợp sinh viên vắng kiểm tra có lý do chính đáng thì giảng viên phụ trách giảng dạy sẽ chủ động giải quyết cho sinh viên được kiểm tra lại vào thời điểm khác trong khoảng thời gian trước ngày thi cuối học kỳ của học phần đó. Điểm thành phần của học phần hoãn thi sẽ không được bảo lưu.</w:t>
      </w:r>
    </w:p>
    <w:p>
      <w:pPr>
        <w:spacing w:before="120" w:after="40"/>
      </w:pPr>
      <w:r>
        <w:rPr>
          <w:rFonts w:ascii="Arial" w:hAnsi="Arial"/>
          <w:b/>
          <w:color w:val="1E4678"/>
          <w:sz w:val="22"/>
        </w:rPr>
        <w:t>Điều 13.  Công nhận kết quả học tập và chuyển đổi tín chỉ (miễn học)</w:t>
      </w:r>
    </w:p>
    <w:p>
      <w:pPr>
        <w:spacing w:before="200" w:after="80"/>
      </w:pPr>
      <w:r>
        <w:rPr>
          <w:rFonts w:ascii="Arial" w:hAnsi="Arial"/>
          <w:b/>
          <w:color w:val="003366"/>
          <w:sz w:val="25"/>
        </w:rPr>
        <w:t>PHẦN 7: DANH MỤC GIÁO TRÌNH &amp; TÀI LIỆU THAM KHẢO CỐT LÕI THEO TỪNG KHOA (HCMUS LIBRARY COLLECTION)</w:t>
      </w:r>
    </w:p>
    <w:p>
      <w:pPr>
        <w:spacing w:after="80" w:line="276" w:lineRule="auto"/>
      </w:pPr>
      <w:r>
        <w:rPr>
          <w:rFonts w:ascii="Arial" w:hAnsi="Arial"/>
          <w:color w:val="282828"/>
          <w:sz w:val="20"/>
        </w:rPr>
        <w:t>Thư viện Trường ĐH Khoa học Tự nhiên phân loại tài liệu theo hệ thống phân loại thập phân Dewey (DDC) và tổ chức kho sách chuyên ngành phục vụ 10 Khoa đào tạo. Dưới đây là bảng tra cứu mã DDC, mã định danh kho và tài liệu bắt buộc của các ngành:</w:t>
      </w:r>
    </w:p>
    <w:p>
      <w:pPr>
        <w:spacing w:before="200" w:after="80"/>
      </w:pPr>
      <w:r>
        <w:rPr>
          <w:rFonts w:ascii="Arial" w:hAnsi="Arial"/>
          <w:b/>
          <w:color w:val="003366"/>
          <w:sz w:val="25"/>
        </w:rPr>
        <w:t>PHẦN 8: HƯỚNG DẪN TRÍCH DẪN HỌC THUẬT CHUẨN IEEE &amp; APA 7TH, CHỐNG ĐẠO VĂN (ACADEMIC INTEGRITY)</w:t>
      </w:r>
    </w:p>
    <w:p>
      <w:pPr>
        <w:spacing w:after="80" w:line="276" w:lineRule="auto"/>
      </w:pPr>
      <w:r>
        <w:rPr>
          <w:rFonts w:ascii="Arial" w:hAnsi="Arial"/>
          <w:color w:val="282828"/>
          <w:sz w:val="20"/>
        </w:rPr>
        <w:t>Trường ĐH Khoa học Tự nhiên ĐHQG-HCM đặt tiêu chuẩn cao nhất về liêm chính học thuật đối với niên luận, khóa luận tốt nghiệp cử nhân, luận văn thạc sĩ và luận án tiến sĩ. Bất kỳ hành vi gian lận hoặc sao chép ý tưởng không trích dẫn nguồn đều bị xử lý kỷ luật theo Quy chế công tác sinh viên.</w:t>
      </w:r>
    </w:p>
    <w:p>
      <w:pPr>
        <w:spacing w:after="80" w:line="276" w:lineRule="auto"/>
      </w:pPr>
      <w:r>
        <w:rPr>
          <w:rFonts w:ascii="Arial" w:hAnsi="Arial"/>
          <w:color w:val="282828"/>
          <w:sz w:val="20"/>
        </w:rPr>
        <w:t>8.1. Hướng dẫn Trích dẫn Chuẩn IEEE (Dành cho Khối CNTT, Điện tử, Vật lý Kỹ thuật, Khoa học Vật liệu) Chuẩn IEEE sử dụng hệ thống số thứ tự trong dấu ngoặc vuông `[1]`, `[2]`, `[3]` xuất hiện lần lượt theo thứ tự trích dẫn trong văn bản. Không sử dụng trích dẫn theo kiểu (Tên tác giả, Năm) trong chuẩn IEEE.</w:t>
      </w:r>
    </w:p>
    <w:p>
      <w:pPr>
        <w:spacing w:after="60" w:line="276" w:lineRule="auto"/>
        <w:ind w:left="288"/>
      </w:pPr>
      <w:r>
        <w:rPr>
          <w:rFonts w:ascii="Arial" w:hAnsi="Arial"/>
          <w:color w:val="282828"/>
          <w:sz w:val="20"/>
        </w:rPr>
        <w:t>• Bài báo tạp chí (Journal Article): Quy tắc định dạng danh mục tài liệu tham khảo theo IEEE:</w:t>
      </w:r>
    </w:p>
    <w:p>
      <w:pPr>
        <w:spacing w:after="80" w:line="276" w:lineRule="auto"/>
      </w:pPr>
      <w:r>
        <w:rPr>
          <w:rFonts w:ascii="Arial" w:hAnsi="Arial"/>
          <w:color w:val="282828"/>
          <w:sz w:val="20"/>
        </w:rPr>
        <w:t>[1] J. K. Author, "Title of paper," Title of Periodical/Journal, vol. x, no. x, pp. xxx-xxx, Month, Year, doi: 10.1109.xxx.</w:t>
      </w:r>
    </w:p>
    <w:p>
      <w:pPr>
        <w:spacing w:after="80" w:line="276" w:lineRule="auto"/>
      </w:pPr>
      <w:r>
        <w:rPr>
          <w:rFonts w:ascii="Arial" w:hAnsi="Arial"/>
          <w:color w:val="282828"/>
          <w:sz w:val="20"/>
        </w:rPr>
        <w:t>Ví dụ: [1] Y. LeCun, Y. Bengio, and G. Hinton, "Deep learning," Nature, vol. 521, no. 7553, pp. 436-444, May 2015, doi: 10.1038/nature14539.</w:t>
      </w:r>
    </w:p>
    <w:p>
      <w:pPr>
        <w:spacing w:after="60" w:line="276" w:lineRule="auto"/>
        <w:ind w:left="288"/>
      </w:pPr>
      <w:r>
        <w:rPr>
          <w:rFonts w:ascii="Arial" w:hAnsi="Arial"/>
          <w:color w:val="282828"/>
          <w:sz w:val="20"/>
        </w:rPr>
        <w:t>• Kỷ yếu hội nghị (Conference): Quy tắc định dạng kỷ yếu hội nghị (Conference Proceedings):</w:t>
      </w:r>
    </w:p>
    <w:p>
      <w:pPr>
        <w:spacing w:after="80" w:line="276" w:lineRule="auto"/>
      </w:pPr>
      <w:r>
        <w:rPr>
          <w:rFonts w:ascii="Arial" w:hAnsi="Arial"/>
          <w:color w:val="282828"/>
          <w:sz w:val="20"/>
        </w:rPr>
        <w:t>[2] A. Vaswani, N. Shazeer, N. Parmar, et al., "Attention is all you need," in Advances in Neural Information Processing Systems (NeurIPS 2017), Long Beach, CA, USA, 2017, pp. 5998-6008.</w:t>
      </w:r>
    </w:p>
    <w:p>
      <w:pPr>
        <w:spacing w:after="60" w:line="276" w:lineRule="auto"/>
        <w:ind w:left="288"/>
      </w:pPr>
      <w:r>
        <w:rPr>
          <w:rFonts w:ascii="Arial" w:hAnsi="Arial"/>
          <w:color w:val="282828"/>
          <w:sz w:val="20"/>
        </w:rPr>
        <w:t>• Sách (Book): Quy tắc định dạng sách chuyên khảo (Book):</w:t>
      </w:r>
    </w:p>
    <w:p>
      <w:pPr>
        <w:spacing w:after="80" w:line="276" w:lineRule="auto"/>
      </w:pPr>
      <w:r>
        <w:rPr>
          <w:rFonts w:ascii="Arial" w:hAnsi="Arial"/>
          <w:color w:val="282828"/>
          <w:sz w:val="20"/>
        </w:rPr>
        <w:t>[3] R. S. Sutton and A. G. Barto, Reinforcement Learning: An Introduction, 2nd ed. Cambridge, MA, USA: MIT Press, 2018.</w:t>
      </w:r>
    </w:p>
    <w:p>
      <w:pPr>
        <w:spacing w:after="80" w:line="276" w:lineRule="auto"/>
      </w:pPr>
      <w:r>
        <w:rPr>
          <w:rFonts w:ascii="Arial" w:hAnsi="Arial"/>
          <w:color w:val="282828"/>
          <w:sz w:val="20"/>
        </w:rPr>
        <w:t>8.2. Hướng dẫn Trích dẫn Chuẩn APA 7th Edition (Dành cho Khối Sinh học, Hóa học, Môi trường, Địa chất) Chuẩn APA (American Psychological Association) 7th Edition sử dụng hệ thống Tác giả - Năm xuất bản (Author-Date) trong văn bản chính, ví dụ: (Nguyen et al., 2024) hoặc Nguyen and Tran (2023). Danh mục tài liệu tham khảo ở cuối bài được sắp xếp theo thứ tự bảng chữ cái ABC của tên tác giả đầu tiên.</w:t>
      </w:r>
    </w:p>
    <w:p>
      <w:pPr>
        <w:spacing w:after="60" w:line="276" w:lineRule="auto"/>
        <w:ind w:left="288"/>
      </w:pPr>
      <w:r>
        <w:rPr>
          <w:rFonts w:ascii="Arial" w:hAnsi="Arial"/>
          <w:color w:val="282828"/>
          <w:sz w:val="20"/>
        </w:rPr>
        <w:t>• Bài báo khoa học: Quy tắc trích dẫn APA 7th:</w:t>
      </w:r>
    </w:p>
    <w:p>
      <w:pPr>
        <w:spacing w:after="80" w:line="276" w:lineRule="auto"/>
      </w:pPr>
      <w:r>
        <w:rPr>
          <w:rFonts w:ascii="Arial" w:hAnsi="Arial"/>
          <w:color w:val="282828"/>
          <w:sz w:val="20"/>
        </w:rPr>
        <w:t>Author, A. A., Author, B. B., &amp; Author, C. C. (Year). Title of article. Title of Periodical, Volume(Issue), Pages. https://doi.org/xxxx Ví dụ: Tran, V. H., Le, T. M., &amp; Nguyen, D. P. (2023). Heavy metal bioaccumulation in mangrove ecosystems of Can Gio, Vietnam. Environmental Pollution, 312, 120015. https://doi.org/10.1016/j.envpol.2023.120015 8.3. Quy trình Kiểm tra Đạo văn bằng Turnitin tại HCMUS</w:t>
      </w:r>
    </w:p>
    <w:p>
      <w:pPr>
        <w:spacing w:after="80" w:line="276" w:lineRule="auto"/>
      </w:pPr>
      <w:r>
        <w:rPr>
          <w:rFonts w:ascii="Arial" w:hAnsi="Arial"/>
          <w:color w:val="282828"/>
          <w:sz w:val="20"/>
        </w:rPr>
        <w:t>1. Đối tượng bắt buộc: 100% Khóa luận tốt nghiệp cử nhân, Luận văn thạc sĩ, Luận án tiến sĩ, và các đề tài NCKH sinh viên cấp Trường, cấp ĐHQG, Giải thưởng Eureka.</w:t>
      </w:r>
    </w:p>
    <w:p>
      <w:pPr>
        <w:spacing w:after="80" w:line="276" w:lineRule="auto"/>
      </w:pPr>
      <w:r>
        <w:rPr>
          <w:rFonts w:ascii="Arial" w:hAnsi="Arial"/>
          <w:color w:val="282828"/>
          <w:sz w:val="20"/>
        </w:rPr>
        <w:t>2. Ngưỡng tương đồng (Similarity Index):</w:t>
      </w:r>
    </w:p>
    <w:p>
      <w:pPr>
        <w:spacing w:after="60" w:line="276" w:lineRule="auto"/>
        <w:ind w:left="288"/>
      </w:pPr>
      <w:r>
        <w:rPr>
          <w:rFonts w:ascii="Arial" w:hAnsi="Arial"/>
          <w:color w:val="282828"/>
          <w:sz w:val="20"/>
        </w:rPr>
        <w:t>• Tổng tỷ lệ trùng lặp cho phép tối đa: ≤ 20% (hoặc ≤ 25% tùy theo hội đồng khoa học từng Khoa quy định cụ thể).</w:t>
      </w:r>
    </w:p>
    <w:p>
      <w:pPr>
        <w:spacing w:after="60" w:line="276" w:lineRule="auto"/>
        <w:ind w:left="288"/>
      </w:pPr>
      <w:r>
        <w:rPr>
          <w:rFonts w:ascii="Arial" w:hAnsi="Arial"/>
          <w:color w:val="282828"/>
          <w:sz w:val="20"/>
        </w:rPr>
        <w:t>• Trùng lặp từ một nguồn duy nhất không được vượt quá 5%.</w:t>
      </w:r>
    </w:p>
    <w:p>
      <w:pPr>
        <w:spacing w:after="60" w:line="276" w:lineRule="auto"/>
        <w:ind w:left="288"/>
      </w:pPr>
      <w:r>
        <w:rPr>
          <w:rFonts w:ascii="Arial" w:hAnsi="Arial"/>
          <w:color w:val="282828"/>
          <w:sz w:val="20"/>
        </w:rPr>
        <w:t>• Bộ lọc Turnitin được phép loại trừ: Tài liệu tham khảo (Exclude Bibliography), trích dẫn nguyên văn trong ngoặc kép (Exclude Quotes), và các chuỗi từ trùng lặp dưới 8-10 từ (Exclude matches &lt; 8 words).</w:t>
      </w:r>
    </w:p>
    <w:p>
      <w:pPr>
        <w:spacing w:after="80" w:line="276" w:lineRule="auto"/>
      </w:pPr>
      <w:r>
        <w:rPr>
          <w:rFonts w:ascii="Arial" w:hAnsi="Arial"/>
          <w:color w:val="282828"/>
          <w:sz w:val="20"/>
        </w:rPr>
        <w:t>3. Cấp tài khoản Turnitin: Học viên cao học và sinh viên làm khóa luận được Khoa hoặc Thư viện cấp tài khoản Turnitin thông qua giảng viên hướng dẫn (Supervisor) để tự kiểm tra bản thảo trước khi nộp bản chính thức.</w:t>
      </w:r>
    </w:p>
    <w:p>
      <w:pPr>
        <w:spacing w:before="200" w:after="80"/>
      </w:pPr>
      <w:r>
        <w:rPr>
          <w:rFonts w:ascii="Arial" w:hAnsi="Arial"/>
          <w:b/>
          <w:color w:val="003366"/>
          <w:sz w:val="25"/>
        </w:rPr>
        <w:t>PHẦN 9: CHI TIẾT ĐĂNG KÝ VÀ KHAI THÁC TÀI NGUYÊN ĐIỆN TỬ LIÊN CHI NHÁNH ĐHQG-HCM &amp; QUỐC TẾ</w:t>
      </w:r>
    </w:p>
    <w:p>
      <w:pPr>
        <w:spacing w:after="80" w:line="276" w:lineRule="auto"/>
      </w:pPr>
      <w:r>
        <w:rPr>
          <w:rFonts w:ascii="Arial" w:hAnsi="Arial"/>
          <w:color w:val="282828"/>
          <w:sz w:val="20"/>
        </w:rPr>
        <w:t>Hệ thống Thư viện ĐHQG-HCM (VNU-HCM Library System) bao gồm Thư viện Trung tâm và các thư viện thành viên (HCMUS, HCMUT, HCMUSSH, UIT, UEL, Khoa Y...). Sinh viên HCMUS sở hữu đặc quyền truy cập kho học liệu số quy mô lớn nhất Việt Nam:</w:t>
      </w:r>
    </w:p>
    <w:p>
      <w:pPr>
        <w:spacing w:after="80" w:line="276" w:lineRule="auto"/>
      </w:pPr>
      <w:r>
        <w:rPr>
          <w:rFonts w:ascii="Arial" w:hAnsi="Arial"/>
          <w:color w:val="282828"/>
          <w:sz w:val="20"/>
        </w:rPr>
        <w:t>1. IEEE Xplore: Cơ sở dữ liệu IEEE Xplore Digital Library:</w:t>
      </w:r>
    </w:p>
    <w:p>
      <w:pPr>
        <w:spacing w:after="80" w:line="276" w:lineRule="auto"/>
      </w:pPr>
      <w:r>
        <w:rPr>
          <w:rFonts w:ascii="Arial" w:hAnsi="Arial"/>
          <w:color w:val="282828"/>
          <w:sz w:val="20"/>
        </w:rPr>
        <w:t>Kho tài nguyên đồ sộ gồm hơn 5 triệu tài liệu kỹ thuật, tiêu chuẩn công nghệ, bài báo tạp chí (IEEE Transactions) và hội nghị quốc tế uy tín hàng đầu thế giới về điện tử, viễn thông, khoa học máy tính, trí tuệ nhân tạo, tự động hóa.</w:t>
      </w:r>
    </w:p>
    <w:p>
      <w:pPr>
        <w:spacing w:after="80" w:line="276" w:lineRule="auto"/>
      </w:pPr>
      <w:r>
        <w:rPr>
          <w:rFonts w:ascii="Arial" w:hAnsi="Arial"/>
          <w:color w:val="282828"/>
          <w:sz w:val="20"/>
        </w:rPr>
        <w:t>2. ScienceDirect: Cơ sở dữ liệu ScienceDirect (Elsevier):</w:t>
      </w:r>
    </w:p>
    <w:p>
      <w:pPr>
        <w:spacing w:after="80" w:line="276" w:lineRule="auto"/>
      </w:pPr>
      <w:r>
        <w:rPr>
          <w:rFonts w:ascii="Arial" w:hAnsi="Arial"/>
          <w:color w:val="282828"/>
          <w:sz w:val="20"/>
        </w:rPr>
        <w:t>Bao gồm hơn 2.500 tạp chí bình duyệt và hàng chục nghìn đầu sách khoa học thuộc các lĩnh vực Hóa học, Khoa học Vật liệu, Khoa học Môi trường, Năng lượng, Y sinh, Toán học.</w:t>
      </w:r>
    </w:p>
    <w:p>
      <w:pPr>
        <w:spacing w:after="80" w:line="276" w:lineRule="auto"/>
      </w:pPr>
      <w:r>
        <w:rPr>
          <w:rFonts w:ascii="Arial" w:hAnsi="Arial"/>
          <w:color w:val="282828"/>
          <w:sz w:val="20"/>
        </w:rPr>
        <w:t>3. SpringerLink &amp; Wiley: Cơ sở dữ liệu SpringerLink &amp; Wiley Online Library:</w:t>
      </w:r>
    </w:p>
    <w:p>
      <w:pPr>
        <w:spacing w:after="80" w:line="276" w:lineRule="auto"/>
      </w:pPr>
      <w:r>
        <w:rPr>
          <w:rFonts w:ascii="Arial" w:hAnsi="Arial"/>
          <w:color w:val="282828"/>
          <w:sz w:val="20"/>
        </w:rPr>
        <w:t>Nguồn sách điện tử (e-books) và bài báo nghiên cứu chuẩn mực cho các ngành Toán học lý thuyết, Toán ứng dụng, Vật lý lý thuyết và Vật lý thực nghiệm.</w:t>
      </w:r>
    </w:p>
    <w:p>
      <w:pPr>
        <w:spacing w:after="80" w:line="276" w:lineRule="auto"/>
      </w:pPr>
      <w:r>
        <w:rPr>
          <w:rFonts w:ascii="Arial" w:hAnsi="Arial"/>
          <w:color w:val="282828"/>
          <w:sz w:val="20"/>
        </w:rPr>
        <w:t>4. DSpace Repository: Thư viện số Luận án - Luận văn ĐHQG-HCM (DSpace Repository):</w:t>
      </w:r>
    </w:p>
    <w:p>
      <w:pPr>
        <w:spacing w:after="80" w:line="276" w:lineRule="auto"/>
      </w:pPr>
      <w:r>
        <w:rPr>
          <w:rFonts w:ascii="Arial" w:hAnsi="Arial"/>
          <w:color w:val="282828"/>
          <w:sz w:val="20"/>
        </w:rPr>
        <w:t>Lưu trữ hơn 50.000 luận án tiến sĩ, luận văn thạc sĩ và khóa luận cử nhân xuất sắc của tất cả các trường thành viên thuộc ĐHQG-HCM. Sinh viên tra cứu toàn văn để tham khảo cấu trúc nghiên cứu, phương pháp luận và số liệu tiền lệ.</w:t>
      </w:r>
    </w:p>
    <w:p>
      <w:pPr>
        <w:spacing w:after="80" w:line="276" w:lineRule="auto"/>
      </w:pPr>
      <w:r>
        <w:rPr>
          <w:rFonts w:ascii="Arial" w:hAnsi="Arial"/>
          <w:color w:val="282828"/>
          <w:sz w:val="20"/>
        </w:rPr>
        <w:t>5. Truy cập từ xa (Off-campus Access): Quy trình xác thực VPN ĐHQG-HCM để tải tài nguyên ngoài khuôn viên trường:</w:t>
      </w:r>
    </w:p>
    <w:p>
      <w:pPr>
        <w:spacing w:after="80" w:line="276" w:lineRule="auto"/>
      </w:pPr>
      <w:r>
        <w:rPr>
          <w:rFonts w:ascii="Arial" w:hAnsi="Arial"/>
          <w:color w:val="282828"/>
          <w:sz w:val="20"/>
        </w:rPr>
        <w:t>Sinh viên không cần có mặt trực tiếp tại trường vẫn có thể tải full-text bài báo bằng cách kết nối qua máy chủ Proxy/OpenVPN do Trung tâm Thư viện ĐHQG-HCM cung cấp. Hướng dẫn cài đặt OpenVPN Client trên Windows/macOS: Tải profile vpn.vnuhcm.edu.vn, đăng nhập bằng email sinh viên @student.hcmus.edu.vn.</w:t>
      </w:r>
    </w:p>
    <w:p>
      <w:pPr>
        <w:spacing w:before="200" w:after="80"/>
      </w:pPr>
      <w:r>
        <w:rPr>
          <w:rFonts w:ascii="Arial" w:hAnsi="Arial"/>
          <w:b/>
          <w:color w:val="003366"/>
          <w:sz w:val="25"/>
        </w:rPr>
        <w:t>PHẦN 10: QUY CHUẨN HÌNH THỨC TRÌNH BÀY KHÓA LUẬN TỐT NGHIỆP CỬ NHÂN HCMUS</w:t>
      </w:r>
    </w:p>
    <w:p>
      <w:pPr>
        <w:spacing w:after="80" w:line="276" w:lineRule="auto"/>
      </w:pPr>
      <w:r>
        <w:rPr>
          <w:rFonts w:ascii="Arial" w:hAnsi="Arial"/>
          <w:color w:val="282828"/>
          <w:sz w:val="20"/>
        </w:rPr>
        <w:t>Nhằm thống nhất tính chuyên nghiệp và chuẩn mực lưu trữ số tại Thư viện trường, tất cả sinh viên làm Khóa luận Tốt nghiệp (KLTN) hoặc Tiểu luận chuyên ngành bắt buộc tuân thủ chặt chẽ các thông số kỹ thuật sau:</w:t>
      </w:r>
    </w:p>
    <w:p>
      <w:pPr>
        <w:spacing w:after="80" w:line="276" w:lineRule="auto"/>
      </w:pPr>
      <w:r>
        <w:rPr>
          <w:rFonts w:ascii="Arial" w:hAnsi="Arial"/>
          <w:color w:val="282828"/>
          <w:sz w:val="20"/>
        </w:rPr>
        <w:t>1. Định dạng trang in: Quy cách khổ giấy và canh lề trang (Page Setup):</w:t>
      </w:r>
    </w:p>
    <w:p>
      <w:pPr>
        <w:spacing w:after="60" w:line="276" w:lineRule="auto"/>
        <w:ind w:left="288"/>
      </w:pPr>
      <w:r>
        <w:rPr>
          <w:rFonts w:ascii="Arial" w:hAnsi="Arial"/>
          <w:color w:val="282828"/>
          <w:sz w:val="20"/>
        </w:rPr>
        <w:t>• Khổ giấy: Chuẩn A4 (210 x 297 mm), in một mặt trên giấy trắng định lượng tối thiểu 80 gsm.</w:t>
      </w:r>
    </w:p>
    <w:p>
      <w:pPr>
        <w:spacing w:after="60" w:line="276" w:lineRule="auto"/>
        <w:ind w:left="288"/>
      </w:pPr>
      <w:r>
        <w:rPr>
          <w:rFonts w:ascii="Arial" w:hAnsi="Arial"/>
          <w:color w:val="282828"/>
          <w:sz w:val="20"/>
        </w:rPr>
        <w:t>• Canh lề (Margins): Lề trên (Top): 2.5 cm; Lề dưới (Bottom): 2.5 cm; Lề trái (Left - gáy đóng sách): 3.5 cm; Lề phải (Right): 2.0 cm.</w:t>
      </w:r>
    </w:p>
    <w:p>
      <w:pPr>
        <w:spacing w:after="60" w:line="276" w:lineRule="auto"/>
        <w:ind w:left="288"/>
      </w:pPr>
      <w:r>
        <w:rPr>
          <w:rFonts w:ascii="Arial" w:hAnsi="Arial"/>
          <w:color w:val="282828"/>
          <w:sz w:val="20"/>
        </w:rPr>
        <w:t>• Đánh số trang: Đặt ở giữa lề dưới (Bottom Center) hoặc góc phải lề trên. Các trang trước phần mở đầu (Mục lục, Danh mục từ viết tắt, Lời cảm ơn) đánh số La Mã thường (i, ii, iii...). Toàn bộ nội dung chính từ Chương 1 đến hết phần Tài liệu tham khảo đánh số Ả Rập (1, 2, 3...).</w:t>
      </w:r>
    </w:p>
    <w:p>
      <w:pPr>
        <w:spacing w:after="80" w:line="276" w:lineRule="auto"/>
      </w:pPr>
      <w:r>
        <w:rPr>
          <w:rFonts w:ascii="Arial" w:hAnsi="Arial"/>
          <w:color w:val="282828"/>
          <w:sz w:val="20"/>
        </w:rPr>
        <w:t>2. Kiểu chữ và giãn cách: Quy cách phông chữ và giãn dòng (Typography):</w:t>
      </w:r>
    </w:p>
    <w:p>
      <w:pPr>
        <w:spacing w:after="60" w:line="276" w:lineRule="auto"/>
        <w:ind w:left="288"/>
      </w:pPr>
      <w:r>
        <w:rPr>
          <w:rFonts w:ascii="Arial" w:hAnsi="Arial"/>
          <w:color w:val="282828"/>
          <w:sz w:val="20"/>
        </w:rPr>
        <w:t>• Font chữ: Chuẩn Unicode Times New Roman, kích cỡ (Font size): 13 pt (hoặc 12 pt tùy quy định bộ môn).</w:t>
      </w:r>
    </w:p>
    <w:p>
      <w:pPr>
        <w:spacing w:after="60" w:line="276" w:lineRule="auto"/>
        <w:ind w:left="288"/>
      </w:pPr>
      <w:r>
        <w:rPr>
          <w:rFonts w:ascii="Arial" w:hAnsi="Arial"/>
          <w:color w:val="282828"/>
          <w:sz w:val="20"/>
        </w:rPr>
        <w:t>• Giãn dòng (Line spacing): 1.3 - 1.5 lines.</w:t>
      </w:r>
    </w:p>
    <w:p>
      <w:pPr>
        <w:spacing w:after="60" w:line="276" w:lineRule="auto"/>
        <w:ind w:left="288"/>
      </w:pPr>
      <w:r>
        <w:rPr>
          <w:rFonts w:ascii="Arial" w:hAnsi="Arial"/>
          <w:color w:val="282828"/>
          <w:sz w:val="20"/>
        </w:rPr>
        <w:t>• Thụt đầu dòng đoạn văn (First line indent): 1.0 cm - 1.27 cm (0.5 inch). Đoạn văn canh đều hai bên (Justified).</w:t>
      </w:r>
    </w:p>
    <w:p>
      <w:pPr>
        <w:spacing w:after="60" w:line="276" w:lineRule="auto"/>
        <w:ind w:left="288"/>
      </w:pPr>
      <w:r>
        <w:rPr>
          <w:rFonts w:ascii="Arial" w:hAnsi="Arial"/>
          <w:color w:val="282828"/>
          <w:sz w:val="20"/>
        </w:rPr>
        <w:t>• Tiêu đề (Headings): Đánh số theo phân cấp thập phân (1.1, 1.1.1, 1.1.2...). Không chia nhỏ quá 4 cấp tiêu đề.</w:t>
      </w:r>
    </w:p>
    <w:p>
      <w:pPr>
        <w:spacing w:after="80" w:line="276" w:lineRule="auto"/>
      </w:pPr>
      <w:r>
        <w:rPr>
          <w:rFonts w:ascii="Arial" w:hAnsi="Arial"/>
          <w:color w:val="282828"/>
          <w:sz w:val="20"/>
        </w:rPr>
        <w:t>3. Thứ tự bố cục tài liệu: Cấu trúc các phần bắt buộc của một cuốn Khóa luận Tốt nghiệp:</w:t>
      </w:r>
    </w:p>
    <w:p>
      <w:pPr>
        <w:spacing w:after="60" w:line="276" w:lineRule="auto"/>
        <w:ind w:left="288"/>
      </w:pPr>
      <w:r>
        <w:rPr>
          <w:rFonts w:ascii="Arial" w:hAnsi="Arial"/>
          <w:color w:val="282828"/>
          <w:sz w:val="20"/>
        </w:rPr>
        <w:t>• Bìa chính (Bìa cứng màu xanh dương đậm hoặc đỏ đô, mạ nhũ vàng).</w:t>
      </w:r>
    </w:p>
    <w:p>
      <w:pPr>
        <w:spacing w:after="60" w:line="276" w:lineRule="auto"/>
        <w:ind w:left="288"/>
      </w:pPr>
      <w:r>
        <w:rPr>
          <w:rFonts w:ascii="Arial" w:hAnsi="Arial"/>
          <w:color w:val="282828"/>
          <w:sz w:val="20"/>
        </w:rPr>
        <w:t>• Bìa phụ (Giấy trắng A4).</w:t>
      </w:r>
    </w:p>
    <w:p>
      <w:pPr>
        <w:spacing w:after="60" w:line="276" w:lineRule="auto"/>
        <w:ind w:left="288"/>
      </w:pPr>
      <w:r>
        <w:rPr>
          <w:rFonts w:ascii="Arial" w:hAnsi="Arial"/>
          <w:color w:val="282828"/>
          <w:sz w:val="20"/>
        </w:rPr>
        <w:t>• Lời cam đoan danh dự (Cam kết không đạo văn, đề tài do chính sinh viên nghiên cứu).</w:t>
      </w:r>
    </w:p>
    <w:p>
      <w:pPr>
        <w:spacing w:after="60" w:line="276" w:lineRule="auto"/>
        <w:ind w:left="288"/>
      </w:pPr>
      <w:r>
        <w:rPr>
          <w:rFonts w:ascii="Arial" w:hAnsi="Arial"/>
          <w:color w:val="282828"/>
          <w:sz w:val="20"/>
        </w:rPr>
        <w:t>• Nhận xét của Giảng viên hướng dẫn (Kèm chữ ký xác nhận).</w:t>
      </w:r>
    </w:p>
    <w:p>
      <w:pPr>
        <w:spacing w:after="60" w:line="276" w:lineRule="auto"/>
        <w:ind w:left="288"/>
      </w:pPr>
      <w:r>
        <w:rPr>
          <w:rFonts w:ascii="Arial" w:hAnsi="Arial"/>
          <w:color w:val="282828"/>
          <w:sz w:val="20"/>
        </w:rPr>
        <w:t>• Nhận xét của Giảng viên phản biện.</w:t>
      </w:r>
    </w:p>
    <w:p>
      <w:pPr>
        <w:spacing w:after="60" w:line="276" w:lineRule="auto"/>
        <w:ind w:left="288"/>
      </w:pPr>
      <w:r>
        <w:rPr>
          <w:rFonts w:ascii="Arial" w:hAnsi="Arial"/>
          <w:color w:val="282828"/>
          <w:sz w:val="20"/>
        </w:rPr>
        <w:t>• Lời cảm ơn.</w:t>
      </w:r>
    </w:p>
    <w:p>
      <w:pPr>
        <w:spacing w:after="60" w:line="276" w:lineRule="auto"/>
        <w:ind w:left="288"/>
      </w:pPr>
      <w:r>
        <w:rPr>
          <w:rFonts w:ascii="Arial" w:hAnsi="Arial"/>
          <w:color w:val="282828"/>
          <w:sz w:val="20"/>
        </w:rPr>
        <w:t>• Tóm tắt khóa luận bằng Tiếng Việt (Abstract in Vietnamese, từ 250 - 350 từ).</w:t>
      </w:r>
    </w:p>
    <w:p>
      <w:pPr>
        <w:spacing w:after="60" w:line="276" w:lineRule="auto"/>
        <w:ind w:left="288"/>
      </w:pPr>
      <w:r>
        <w:rPr>
          <w:rFonts w:ascii="Arial" w:hAnsi="Arial"/>
          <w:color w:val="282828"/>
          <w:sz w:val="20"/>
        </w:rPr>
        <w:t>• Tóm tắt khóa luận bằng Tiếng Anh (Abstract in English).</w:t>
      </w:r>
    </w:p>
    <w:p>
      <w:pPr>
        <w:spacing w:after="60" w:line="276" w:lineRule="auto"/>
        <w:ind w:left="288"/>
      </w:pPr>
      <w:r>
        <w:rPr>
          <w:rFonts w:ascii="Arial" w:hAnsi="Arial"/>
          <w:color w:val="282828"/>
          <w:sz w:val="20"/>
        </w:rPr>
        <w:t>• Mục lục tự động (Table of Contents).</w:t>
      </w:r>
    </w:p>
    <w:p>
      <w:pPr>
        <w:spacing w:after="60" w:line="276" w:lineRule="auto"/>
        <w:ind w:left="288"/>
      </w:pPr>
      <w:r>
        <w:rPr>
          <w:rFonts w:ascii="Arial" w:hAnsi="Arial"/>
          <w:color w:val="282828"/>
          <w:sz w:val="20"/>
        </w:rPr>
        <w:t>• Danh mục các bảng biểu, hình ảnh, đồ thị, chữ viết tắt.</w:t>
      </w:r>
    </w:p>
    <w:p>
      <w:pPr>
        <w:spacing w:after="60" w:line="276" w:lineRule="auto"/>
        <w:ind w:left="288"/>
      </w:pPr>
      <w:r>
        <w:rPr>
          <w:rFonts w:ascii="Arial" w:hAnsi="Arial"/>
          <w:color w:val="282828"/>
          <w:sz w:val="20"/>
        </w:rPr>
        <w:t>• Nội dung chính (Chương 1: Tổng quan lý thuyết; Chương 2: Phương pháp nghiên cứu; Chương 3: Kết quả thực nghiệm và Thảo luận; Chương 4: Kết luận &amp; Hướng phát triển).</w:t>
      </w:r>
    </w:p>
    <w:p>
      <w:pPr>
        <w:spacing w:after="60" w:line="276" w:lineRule="auto"/>
        <w:ind w:left="288"/>
      </w:pPr>
      <w:r>
        <w:rPr>
          <w:rFonts w:ascii="Arial" w:hAnsi="Arial"/>
          <w:color w:val="282828"/>
          <w:sz w:val="20"/>
        </w:rPr>
        <w:t>• Danh mục Tài liệu tham khảo (References - Chuẩn IEEE hoặc APA).</w:t>
      </w:r>
    </w:p>
    <w:p>
      <w:pPr>
        <w:spacing w:after="60" w:line="276" w:lineRule="auto"/>
        <w:ind w:left="288"/>
      </w:pPr>
      <w:r>
        <w:rPr>
          <w:rFonts w:ascii="Arial" w:hAnsi="Arial"/>
          <w:color w:val="282828"/>
          <w:sz w:val="20"/>
        </w:rPr>
        <w:t>• Phụ lục (Mã nguồn, bảng số liệu thô, phiếu khảo sát...).</w:t>
      </w:r>
    </w:p>
    <w:p>
      <w:pPr>
        <w:spacing w:before="200" w:after="80"/>
      </w:pPr>
      <w:r>
        <w:rPr>
          <w:rFonts w:ascii="Arial" w:hAnsi="Arial"/>
          <w:b/>
          <w:color w:val="003366"/>
          <w:sz w:val="25"/>
        </w:rPr>
        <w:t>PHẦN 11: CẨM NANG THỰC HIỆN ĐỀ TÀI NCKH SINH VIÊN &amp; XIN TÀI TRỢ KINH PHÍ TẠI HCMUS</w:t>
      </w:r>
    </w:p>
    <w:p>
      <w:pPr>
        <w:spacing w:after="80" w:line="276" w:lineRule="auto"/>
      </w:pPr>
      <w:r>
        <w:rPr>
          <w:rFonts w:ascii="Arial" w:hAnsi="Arial"/>
          <w:color w:val="282828"/>
          <w:sz w:val="20"/>
        </w:rPr>
        <w:t>Hàng năm, Phòng Khoa học Công nghệ và Ban Quản lý NCKH Sinh viên HCMUS cấp kinh phí tài trợ cho hàng trăm đề tài nghiên cứu tiềm năng của sinh viên hệ chính quy. Dưới đây là quy trình chi tiết từ ý tưởng đến nghiệm thu đề tài:</w:t>
      </w:r>
    </w:p>
    <w:p>
      <w:pPr>
        <w:spacing w:after="80" w:line="276" w:lineRule="auto"/>
      </w:pPr>
      <w:r>
        <w:rPr>
          <w:rFonts w:ascii="Arial" w:hAnsi="Arial"/>
          <w:color w:val="282828"/>
          <w:sz w:val="20"/>
        </w:rPr>
        <w:t>1. Các cấp đề tài NCKH:Các chương trình tài trợ nghiên cứu sinh viên:</w:t>
      </w:r>
    </w:p>
    <w:p>
      <w:pPr>
        <w:spacing w:after="60" w:line="276" w:lineRule="auto"/>
        <w:ind w:left="288"/>
      </w:pPr>
      <w:r>
        <w:rPr>
          <w:rFonts w:ascii="Arial" w:hAnsi="Arial"/>
          <w:color w:val="282828"/>
          <w:sz w:val="20"/>
        </w:rPr>
        <w:t>• Đề tài NCKH Sinh viên Cấp Cơ sở (HCMUS): Mức tài trợ từ 5.000.000 VNĐ đến 15.000.000 VNĐ/đề tài. Thời gian thực hiện: 6 - 12 tháng. Hồ sơ nhận vào tháng 3 và tháng 9 hàng năm.</w:t>
      </w:r>
    </w:p>
    <w:p>
      <w:pPr>
        <w:spacing w:after="60" w:line="276" w:lineRule="auto"/>
        <w:ind w:left="288"/>
      </w:pPr>
      <w:r>
        <w:rPr>
          <w:rFonts w:ascii="Arial" w:hAnsi="Arial"/>
          <w:color w:val="282828"/>
          <w:sz w:val="20"/>
        </w:rPr>
        <w:t>• Đề tài NCKH Trọng điểm ĐHQG-HCM: Dành cho các nhóm nghiên cứu liên ngành, tài trợ lên đến 30.000.000 VNĐ - 50.000.000 VNĐ.</w:t>
      </w:r>
    </w:p>
    <w:p>
      <w:pPr>
        <w:spacing w:after="60" w:line="276" w:lineRule="auto"/>
        <w:ind w:left="288"/>
      </w:pPr>
      <w:r>
        <w:rPr>
          <w:rFonts w:ascii="Arial" w:hAnsi="Arial"/>
          <w:color w:val="282828"/>
          <w:sz w:val="20"/>
        </w:rPr>
        <w:t>• Giải thưởng Sinh viên Nghiên cứu Khoa học Euréka (Thành Đoàn TP.HCM): Cuộc thi học thuật đỉnh cao toàn miền Nam và toàn quốc, tổ chức vào tháng 7 - 11 hàng năm với các giải thưởng trị giá cao kèm bằng khen của Bộ GD&amp;ĐT.</w:t>
      </w:r>
    </w:p>
    <w:p>
      <w:pPr>
        <w:spacing w:after="80" w:line="276" w:lineRule="auto"/>
      </w:pPr>
      <w:r>
        <w:rPr>
          <w:rFonts w:ascii="Arial" w:hAnsi="Arial"/>
          <w:color w:val="282828"/>
          <w:sz w:val="20"/>
        </w:rPr>
        <w:t>2. Yêu cầu bản thuyết minh đề cương:Cấu trúc bản thuyết minh đề cương nghiên cứu khoa học (Research Proposal):</w:t>
      </w:r>
    </w:p>
    <w:p>
      <w:pPr>
        <w:spacing w:after="60" w:line="276" w:lineRule="auto"/>
        <w:ind w:left="288"/>
      </w:pPr>
      <w:r>
        <w:rPr>
          <w:rFonts w:ascii="Arial" w:hAnsi="Arial"/>
          <w:color w:val="282828"/>
          <w:sz w:val="20"/>
        </w:rPr>
        <w:t>• Tính cấp thiết của đề tài (Research Motivation): Nêu rõ bài toán thực tiễn cần giải quyết và khoảng trống tri thức (Knowledge Gap).</w:t>
      </w:r>
    </w:p>
    <w:p>
      <w:pPr>
        <w:spacing w:after="60" w:line="276" w:lineRule="auto"/>
        <w:ind w:left="288"/>
      </w:pPr>
      <w:r>
        <w:rPr>
          <w:rFonts w:ascii="Arial" w:hAnsi="Arial"/>
          <w:color w:val="282828"/>
          <w:sz w:val="20"/>
        </w:rPr>
        <w:t>• Mục tiêu nghiên cứu (Objectives): Phân biệt rõ mục tiêu chung (General Objective) và các mục tiêu cụ thể (Specific Objectives).</w:t>
      </w:r>
    </w:p>
    <w:p>
      <w:pPr>
        <w:spacing w:after="60" w:line="276" w:lineRule="auto"/>
        <w:ind w:left="288"/>
      </w:pPr>
      <w:r>
        <w:rPr>
          <w:rFonts w:ascii="Arial" w:hAnsi="Arial"/>
          <w:color w:val="282828"/>
          <w:sz w:val="20"/>
        </w:rPr>
        <w:t>• Tổng quan tình hình nghiên cứu (Literature Review): Khảo sát tối thiểu 15-30 bài báo quốc tế (ISI/Scopus) và trong nước liên quan trong vòng 5 năm trở lại.</w:t>
      </w:r>
    </w:p>
    <w:p>
      <w:pPr>
        <w:spacing w:after="60" w:line="276" w:lineRule="auto"/>
        <w:ind w:left="288"/>
      </w:pPr>
      <w:r>
        <w:rPr>
          <w:rFonts w:ascii="Arial" w:hAnsi="Arial"/>
          <w:color w:val="282828"/>
          <w:sz w:val="20"/>
        </w:rPr>
        <w:t>• Đối tượng và phạm vi nghiên cứu (Scope &amp; Limitations).</w:t>
      </w:r>
    </w:p>
    <w:p>
      <w:pPr>
        <w:spacing w:after="60" w:line="276" w:lineRule="auto"/>
        <w:ind w:left="288"/>
      </w:pPr>
      <w:r>
        <w:rPr>
          <w:rFonts w:ascii="Arial" w:hAnsi="Arial"/>
          <w:color w:val="282828"/>
          <w:sz w:val="20"/>
        </w:rPr>
        <w:t>• Phương pháp nghiên cứu và kỹ thuật thực nghiệm (Methodology): Mô tả chi tiết quy trình thí nghiệm, giải thuật, tập dữ liệu huấn luyện, phương sai thống kê.</w:t>
      </w:r>
    </w:p>
    <w:p>
      <w:pPr>
        <w:spacing w:after="60" w:line="276" w:lineRule="auto"/>
        <w:ind w:left="288"/>
      </w:pPr>
      <w:r>
        <w:rPr>
          <w:rFonts w:ascii="Arial" w:hAnsi="Arial"/>
          <w:color w:val="282828"/>
          <w:sz w:val="20"/>
        </w:rPr>
        <w:t>• Kế hoạch triển khai chi tiết theo từng tháng (Gantt Chart timeline).</w:t>
      </w:r>
    </w:p>
    <w:p>
      <w:pPr>
        <w:spacing w:after="60" w:line="276" w:lineRule="auto"/>
        <w:ind w:left="288"/>
      </w:pPr>
      <w:r>
        <w:rPr>
          <w:rFonts w:ascii="Arial" w:hAnsi="Arial"/>
          <w:color w:val="282828"/>
          <w:sz w:val="20"/>
        </w:rPr>
        <w:t>• Dự toán kinh phí chi tiết (Vật tư tiêu hao, hóa chất, chi phí đo đạc phân tích tại PTN, tài liệu chuyên khảo).</w:t>
      </w:r>
    </w:p>
    <w:p>
      <w:pPr>
        <w:spacing w:after="60" w:line="276" w:lineRule="auto"/>
        <w:ind w:left="288"/>
      </w:pPr>
      <w:r>
        <w:rPr>
          <w:rFonts w:ascii="Arial" w:hAnsi="Arial"/>
          <w:color w:val="282828"/>
          <w:sz w:val="20"/>
        </w:rPr>
        <w:t>• Sản phẩm dự kiến (Báo cáo tổng kết, bài báo đăng kỷ yếu hội nghị / tạp chí, sản phẩm mô hình, phần mềm).</w:t>
      </w:r>
    </w:p>
    <w:p>
      <w:pPr>
        <w:spacing w:before="200" w:after="80"/>
      </w:pPr>
      <w:r>
        <w:rPr>
          <w:rFonts w:ascii="Arial" w:hAnsi="Arial"/>
          <w:b/>
          <w:color w:val="003366"/>
          <w:sz w:val="25"/>
        </w:rPr>
        <w:t>PHẦN 12: BẢNG TRA CỨU PHÍ DỊCH VỤ, MỨC PHẠT QUÁ HẠN &amp; BỒI THƯỜNG TÀI LIỆU</w:t>
      </w:r>
    </w:p>
    <w:p>
      <w:pPr>
        <w:spacing w:after="80" w:line="276" w:lineRule="auto"/>
      </w:pPr>
      <w:r>
        <w:rPr>
          <w:rFonts w:ascii="Arial" w:hAnsi="Arial"/>
          <w:color w:val="282828"/>
          <w:sz w:val="20"/>
        </w:rPr>
        <w:t>Để bảo vệ nguồn vốn tài liệu dùng chung và duy trì tính công bằng học thuật cho toàn thể cán bộ, giảng viên, sinh viên, Thư viện áp dụng chế tài bồi thường nghiêm ngặt theo Quyết định số 284/QĐ-KHTN-TV:</w:t>
      </w:r>
    </w:p>
    <w:p>
      <w:pPr>
        <w:spacing w:before="200" w:after="80"/>
      </w:pPr>
      <w:r>
        <w:rPr>
          <w:rFonts w:ascii="Arial" w:hAnsi="Arial"/>
          <w:b/>
          <w:color w:val="003366"/>
          <w:sz w:val="25"/>
        </w:rPr>
        <w:t>PHẦN 13: CẨM NANG ĐĂNG KÝ BẢN QUYỀN SÁNG CHẾ, GIẢI PHÁP HỮU ÍCH &amp; PHẦN MỀM TẠI TRƯỜNG ĐHKHTN</w:t>
      </w:r>
    </w:p>
    <w:p>
      <w:pPr>
        <w:spacing w:after="80" w:line="276" w:lineRule="auto"/>
      </w:pPr>
      <w:r>
        <w:rPr>
          <w:rFonts w:ascii="Arial" w:hAnsi="Arial"/>
          <w:color w:val="282828"/>
          <w:sz w:val="20"/>
        </w:rPr>
        <w:t>Trường ĐH Khoa học Tự nhiên ĐHQG-HCM luôn khuyến khích sinh viên và giảng viên bảo hộ tài sản trí tuệ phát sinh từ các đề tài nghiên cứu khoa học, khóa luận tốt nghiệp trước khi công bố ra công chúng:</w:t>
      </w:r>
    </w:p>
    <w:p>
      <w:pPr>
        <w:spacing w:after="80" w:line="276" w:lineRule="auto"/>
      </w:pPr>
      <w:r>
        <w:rPr>
          <w:rFonts w:ascii="Arial" w:hAnsi="Arial"/>
          <w:color w:val="282828"/>
          <w:sz w:val="20"/>
        </w:rPr>
        <w:t>13.1. Các Đối tượng Sở hữu Trí tuệ Phổ biến của Sinh viên KHTN</w:t>
      </w:r>
    </w:p>
    <w:p>
      <w:pPr>
        <w:spacing w:after="80" w:line="276" w:lineRule="auto"/>
      </w:pPr>
      <w:r>
        <w:rPr>
          <w:rFonts w:ascii="Arial" w:hAnsi="Arial"/>
          <w:color w:val="282828"/>
          <w:sz w:val="20"/>
        </w:rPr>
        <w:t>1. Quyền tác giả đối với Chương trình Máy tính (Phần mềm): Đăng ký Giấy chứng nhận Đăng ký Quyền tác giả tại Cục Bản quyền Tác giả (Bộ VHTTDL). Hồ sơ gồm: Đơn đăng ký, 02 đĩa CD chứa mã nguồn và bộ cài đặt, 02 bản in giao diện và mã nguồn (Code listing).</w:t>
      </w:r>
    </w:p>
    <w:p>
      <w:pPr>
        <w:spacing w:after="80" w:line="276" w:lineRule="auto"/>
      </w:pPr>
      <w:r>
        <w:rPr>
          <w:rFonts w:ascii="Arial" w:hAnsi="Arial"/>
          <w:color w:val="282828"/>
          <w:sz w:val="20"/>
        </w:rPr>
        <w:t>2. Bằng độc quyền Sáng chế &amp; Giải pháp Hữu ích: Bảo hộ các quy trình hóa học mới, công thức vật liệu composite, chủng vi sinh vật biến nạp gen có tính mới và khả năng áp dụng công nghiệp tại Cục Sở hữu Trí tuệ (Bộ KH&amp;CN).</w:t>
      </w:r>
    </w:p>
    <w:p>
      <w:pPr>
        <w:spacing w:after="80" w:line="276" w:lineRule="auto"/>
      </w:pPr>
      <w:r>
        <w:rPr>
          <w:rFonts w:ascii="Arial" w:hAnsi="Arial"/>
          <w:color w:val="282828"/>
          <w:sz w:val="20"/>
        </w:rPr>
        <w:t>3. Bí mật kinh doanh: Các thuật toán độc quyền, công thức thí nghiệm chưa muốn công bố công khai ra bên ngoài.</w:t>
      </w:r>
    </w:p>
    <w:p>
      <w:pPr>
        <w:spacing w:after="80" w:line="276" w:lineRule="auto"/>
      </w:pPr>
      <w:r>
        <w:rPr>
          <w:rFonts w:ascii="Arial" w:hAnsi="Arial"/>
          <w:color w:val="282828"/>
          <w:sz w:val="20"/>
        </w:rPr>
        <w:t>13.2. Chính sách Tài trợ Kinh phí Đăng ký Sở hữu Trí tuệ của Nhà trường</w:t>
      </w:r>
    </w:p>
    <w:p>
      <w:pPr>
        <w:spacing w:after="60" w:line="276" w:lineRule="auto"/>
        <w:ind w:left="288"/>
      </w:pPr>
      <w:r>
        <w:rPr>
          <w:rFonts w:ascii="Arial" w:hAnsi="Arial"/>
          <w:color w:val="282828"/>
          <w:sz w:val="20"/>
        </w:rPr>
        <w:t>• Phòng Khoa học - Công nghệ (P.KHCN) HCMUS phối hợp cùng Trung tâm Sở hữu Trí tuệ &amp; Chuyển giao Công nghệ ĐHQG-HCM (IPTC) hỗ trợ 100% kinh phí tra cứu bằng sáng chế, phí nộp đơn và phí duy trì văn bằng bảo hộ cho các nhóm nghiên cứu sinh viên có sản phẩm tiềm năng thương mại hóa.</w:t>
      </w:r>
    </w:p>
    <w:p>
      <w:pPr>
        <w:spacing w:after="60" w:line="276" w:lineRule="auto"/>
        <w:ind w:left="288"/>
      </w:pPr>
      <w:r>
        <w:rPr>
          <w:rFonts w:ascii="Arial" w:hAnsi="Arial"/>
          <w:color w:val="282828"/>
          <w:sz w:val="20"/>
        </w:rPr>
        <w:t>• Địa chỉ liên hệ tư vấn SHTT: Phòng A12, Tòa nhà A - Cơ sở 1 Nguyễn Văn Cừ. Email: shtt@hcmus.edu.vn.</w:t>
      </w:r>
    </w:p>
    <w:p>
      <w:pPr>
        <w:spacing w:before="200" w:after="80"/>
      </w:pPr>
      <w:r>
        <w:rPr>
          <w:rFonts w:ascii="Arial" w:hAnsi="Arial"/>
          <w:b/>
          <w:color w:val="003366"/>
          <w:sz w:val="25"/>
        </w:rPr>
        <w:t>PHẦN 14: BẢNG DANH MỤC TẠP CHÍ QUỐC TẾ UY TÍN (ISI/SCOPUS Q1/Q2) THEO LĨNH VỰC</w:t>
      </w:r>
    </w:p>
    <w:p>
      <w:pPr>
        <w:spacing w:after="80" w:line="276" w:lineRule="auto"/>
      </w:pPr>
      <w:r>
        <w:rPr>
          <w:rFonts w:ascii="Arial" w:hAnsi="Arial"/>
          <w:color w:val="282828"/>
          <w:sz w:val="20"/>
        </w:rPr>
        <w:t>Sinh viên làm nghiên cứu khoa học hướng đến công bố quốc tế có thể tra cứu danh sách các tạp chí bình duyệt uy tín được Quỹ NAFOSTED và ĐHQG-HCM công nhận:</w:t>
      </w:r>
    </w:p>
    <w:tbl>
      <w:tblPr>
        <w:tblW w:type="auto" w:w="0"/>
        <w:jc w:val="center"/>
        <w:tblLook w:firstColumn="1" w:firstRow="1" w:lastColumn="0" w:lastRow="0" w:noHBand="0" w:noVBand="1" w:val="04A0"/>
      </w:tblPr>
      <w:tblGrid>
        <w:gridCol w:w="9648"/>
      </w:tblGrid>
      <w:tr>
        <w:tc>
          <w:tcPr>
            <w:tcW w:type="dxa" w:w="9648"/>
            <w:shd w:val="clear" w:color="auto" w:fill="1B365D"/>
            <w:tcMar>
              <w:top w:w="100" w:type="dxa"/>
              <w:bottom w:w="100" w:type="dxa"/>
              <w:left w:w="120" w:type="dxa"/>
              <w:right w:w="120" w:type="dxa"/>
            </w:tcMar>
          </w:tcPr>
          <w:p>
            <w:pPr>
              <w:jc w:val="center"/>
            </w:pPr>
            <w:r>
              <w:rPr>
                <w:rFonts w:ascii="Arial" w:hAnsi="Arial"/>
                <w:b/>
                <w:color w:val="FFFFFF"/>
                <w:sz w:val="19"/>
              </w:rPr>
              <w:t>TỔNG QUAN TÀI LIỆU CƠ SỞ TRI THỨC: Tài liệu này là Cơ sở Tri thức Master đồ sộ của Library &amp; Research Discovery Agent. Hợp nhất toàn bộ quy chế hoạt động của Thư viện HCMUS (Cơ sở 1 &amp; Cơ sở 2), Hệ thống Thư viện ĐHQG-HCM, cẩm nang khai thác 15+ CSDL điện tử quốc tế (IEEE, ScienceDirect, SpringerLink...), hướng dẫn EZproxy truy cập từ xa, phương pháp tìm kiếm Boolean, phần mềm quản lý trích dẫn (Zotero, Mendeley) và quy chuẩn liêm chính Turnitin.</w:t>
            </w:r>
          </w:p>
        </w:tc>
      </w:tr>
    </w:tbl>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Cơ Sở Phục Vụ</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Vị Trí &amp; Không Gian</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Chức Năng &amp; Trang Thiết Bị</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Giờ Mở Cửa Phục Vụ</w:t>
            </w:r>
          </w:p>
        </w:tc>
      </w:tr>
      <w:tr>
        <w:tc>
          <w:tcPr>
            <w:tcW w:type="dxa" w:w="2412"/>
            <w:shd w:val="clear" w:color="auto" w:fill="F2F5F9"/>
            <w:tcMar>
              <w:top w:w="100" w:type="dxa"/>
              <w:bottom w:w="100" w:type="dxa"/>
              <w:left w:w="120" w:type="dxa"/>
              <w:right w:w="120" w:type="dxa"/>
            </w:tcMar>
          </w:tcPr>
          <w:p>
            <w:r>
              <w:rPr>
                <w:rFonts w:ascii="Arial" w:hAnsi="Arial"/>
                <w:sz w:val="19"/>
              </w:rPr>
              <w:t>Cơ sở 1 (Quận 5)</w:t>
              <w:br/>
              <w:t>227 Nguyễn Văn Cừ</w:t>
            </w:r>
          </w:p>
        </w:tc>
        <w:tc>
          <w:tcPr>
            <w:tcW w:type="dxa" w:w="2412"/>
            <w:shd w:val="clear" w:color="auto" w:fill="F2F5F9"/>
            <w:tcMar>
              <w:top w:w="100" w:type="dxa"/>
              <w:bottom w:w="100" w:type="dxa"/>
              <w:left w:w="120" w:type="dxa"/>
              <w:right w:w="120" w:type="dxa"/>
            </w:tcMar>
          </w:tcPr>
          <w:p>
            <w:r>
              <w:rPr>
                <w:rFonts w:ascii="Arial" w:hAnsi="Arial"/>
                <w:sz w:val="19"/>
              </w:rPr>
              <w:t>Tòa nhà Thư viện (Nhà I)</w:t>
              <w:br/>
              <w:t>• Lầu 9: Phòng đọc tổng hợp</w:t>
              <w:br/>
              <w:t>• Lầu 10: Phòng NCKH &amp; Học nhóm</w:t>
            </w:r>
          </w:p>
        </w:tc>
        <w:tc>
          <w:tcPr>
            <w:tcW w:type="dxa" w:w="2412"/>
            <w:shd w:val="clear" w:color="auto" w:fill="F2F5F9"/>
            <w:tcMar>
              <w:top w:w="100" w:type="dxa"/>
              <w:bottom w:w="100" w:type="dxa"/>
              <w:left w:w="120" w:type="dxa"/>
              <w:right w:w="120" w:type="dxa"/>
            </w:tcMar>
          </w:tcPr>
          <w:p>
            <w:r>
              <w:rPr>
                <w:rFonts w:ascii="Arial" w:hAnsi="Arial"/>
                <w:sz w:val="19"/>
              </w:rPr>
              <w:t>• Lầu 9: Kho sách giáo trình, tra cứu máy tính OPAC, quầy mượn trả, 300 chỗ ngồi tự học.</w:t>
              <w:br/>
              <w:t>• Lầu 10: Phòng đọc cao học, báo tạp chí chuyên ngành, 4 phòng học nhóm đa phương tiện (Smart TV, bảng kính, máy lạnh).</w:t>
            </w:r>
          </w:p>
        </w:tc>
        <w:tc>
          <w:tcPr>
            <w:tcW w:type="dxa" w:w="2412"/>
            <w:shd w:val="clear" w:color="auto" w:fill="F2F5F9"/>
            <w:tcMar>
              <w:top w:w="100" w:type="dxa"/>
              <w:bottom w:w="100" w:type="dxa"/>
              <w:left w:w="120" w:type="dxa"/>
              <w:right w:w="120" w:type="dxa"/>
            </w:tcMar>
          </w:tcPr>
          <w:p>
            <w:r>
              <w:rPr>
                <w:rFonts w:ascii="Arial" w:hAnsi="Arial"/>
                <w:sz w:val="19"/>
              </w:rPr>
              <w:t>• Thứ 2 - Thứ 6: 07:30 - 16:30</w:t>
              <w:br/>
              <w:t>(Mở rộng đến 18:30 mùa thi)</w:t>
              <w:br/>
              <w:t>• Thứ 7: 07:30 - 11:30</w:t>
              <w:br/>
              <w:t>• Chủ nhật &amp; Ngày lễ: Nghỉ</w:t>
            </w:r>
          </w:p>
        </w:tc>
      </w:tr>
      <w:tr>
        <w:tc>
          <w:tcPr>
            <w:tcW w:type="dxa" w:w="2412"/>
            <w:tcMar>
              <w:top w:w="100" w:type="dxa"/>
              <w:bottom w:w="100" w:type="dxa"/>
              <w:left w:w="120" w:type="dxa"/>
              <w:right w:w="120" w:type="dxa"/>
            </w:tcMar>
          </w:tcPr>
          <w:p>
            <w:r>
              <w:rPr>
                <w:rFonts w:ascii="Arial" w:hAnsi="Arial"/>
                <w:sz w:val="19"/>
              </w:rPr>
              <w:t>Cơ sở 2 (Thủ Đức)</w:t>
              <w:br/>
              <w:t>Khu đô thị ĐHQG-HCM</w:t>
            </w:r>
          </w:p>
        </w:tc>
        <w:tc>
          <w:tcPr>
            <w:tcW w:type="dxa" w:w="2412"/>
            <w:tcMar>
              <w:top w:w="100" w:type="dxa"/>
              <w:bottom w:w="100" w:type="dxa"/>
              <w:left w:w="120" w:type="dxa"/>
              <w:right w:w="120" w:type="dxa"/>
            </w:tcMar>
          </w:tcPr>
          <w:p>
            <w:r>
              <w:rPr>
                <w:rFonts w:ascii="Arial" w:hAnsi="Arial"/>
                <w:sz w:val="19"/>
              </w:rPr>
              <w:t>Dãy nhà C (Cơ sở Linh Trung)</w:t>
              <w:br/>
              <w:t>Trung tâm Thông tin - Thư viện</w:t>
            </w:r>
          </w:p>
        </w:tc>
        <w:tc>
          <w:tcPr>
            <w:tcW w:type="dxa" w:w="2412"/>
            <w:tcMar>
              <w:top w:w="100" w:type="dxa"/>
              <w:bottom w:w="100" w:type="dxa"/>
              <w:left w:w="120" w:type="dxa"/>
              <w:right w:w="120" w:type="dxa"/>
            </w:tcMar>
          </w:tcPr>
          <w:p>
            <w:r>
              <w:rPr>
                <w:rFonts w:ascii="Arial" w:hAnsi="Arial"/>
                <w:sz w:val="19"/>
              </w:rPr>
              <w:t>• Không gian tự học mở (Learning Commons), kho sách đại cương Toán - Lý - Hóa - Sinh - CNTT.</w:t>
              <w:br/>
              <w:t>• Wifi tốc độ cao, máy tính tra cứu danh mục sách nhanh, khu vực đọc sách yên tĩnh.</w:t>
            </w:r>
          </w:p>
        </w:tc>
        <w:tc>
          <w:tcPr>
            <w:tcW w:type="dxa" w:w="2412"/>
            <w:tcMar>
              <w:top w:w="100" w:type="dxa"/>
              <w:bottom w:w="100" w:type="dxa"/>
              <w:left w:w="120" w:type="dxa"/>
              <w:right w:w="120" w:type="dxa"/>
            </w:tcMar>
          </w:tcPr>
          <w:p>
            <w:r>
              <w:rPr>
                <w:rFonts w:ascii="Arial" w:hAnsi="Arial"/>
                <w:sz w:val="19"/>
              </w:rPr>
              <w:t>• Thứ 2 - Thứ 6: 07:30 - 16:30</w:t>
              <w:br/>
              <w:t>• Thứ 7, CN: Nghỉ</w:t>
            </w:r>
          </w:p>
        </w:tc>
      </w:tr>
      <w:tr>
        <w:tc>
          <w:tcPr>
            <w:tcW w:type="dxa" w:w="2412"/>
            <w:shd w:val="clear" w:color="auto" w:fill="F2F5F9"/>
            <w:tcMar>
              <w:top w:w="100" w:type="dxa"/>
              <w:bottom w:w="100" w:type="dxa"/>
              <w:left w:w="120" w:type="dxa"/>
              <w:right w:w="120" w:type="dxa"/>
            </w:tcMar>
          </w:tcPr>
          <w:p>
            <w:r>
              <w:rPr>
                <w:rFonts w:ascii="Arial" w:hAnsi="Arial"/>
                <w:sz w:val="19"/>
              </w:rPr>
              <w:t>Thư viện Trung tâm</w:t>
              <w:br/>
              <w:t>ĐHQG-HCM</w:t>
            </w:r>
          </w:p>
        </w:tc>
        <w:tc>
          <w:tcPr>
            <w:tcW w:type="dxa" w:w="2412"/>
            <w:shd w:val="clear" w:color="auto" w:fill="F2F5F9"/>
            <w:tcMar>
              <w:top w:w="100" w:type="dxa"/>
              <w:bottom w:w="100" w:type="dxa"/>
              <w:left w:w="120" w:type="dxa"/>
              <w:right w:w="120" w:type="dxa"/>
            </w:tcMar>
          </w:tcPr>
          <w:p>
            <w:r>
              <w:rPr>
                <w:rFonts w:ascii="Arial" w:hAnsi="Arial"/>
                <w:sz w:val="19"/>
              </w:rPr>
              <w:t>Khu đô thị ĐHQG-HCM (gần Nhà văn hóa Sinh viên)</w:t>
            </w:r>
          </w:p>
        </w:tc>
        <w:tc>
          <w:tcPr>
            <w:tcW w:type="dxa" w:w="2412"/>
            <w:shd w:val="clear" w:color="auto" w:fill="F2F5F9"/>
            <w:tcMar>
              <w:top w:w="100" w:type="dxa"/>
              <w:bottom w:w="100" w:type="dxa"/>
              <w:left w:w="120" w:type="dxa"/>
              <w:right w:w="120" w:type="dxa"/>
            </w:tcMar>
          </w:tcPr>
          <w:p>
            <w:r>
              <w:rPr>
                <w:rFonts w:ascii="Arial" w:hAnsi="Arial"/>
                <w:sz w:val="19"/>
              </w:rPr>
              <w:t>• Tòa nhà thư viện hiện đại bậc nhất khu vực phía Nam với sức chứa hơn 2.000 chỗ ngồi.</w:t>
              <w:br/>
              <w:t>• Trung tâm tích hợp toàn bộ cơ sở dữ liệu điện tử, kho tài liệu đa ngành ĐHQG-HCM.</w:t>
            </w:r>
          </w:p>
        </w:tc>
        <w:tc>
          <w:tcPr>
            <w:tcW w:type="dxa" w:w="2412"/>
            <w:shd w:val="clear" w:color="auto" w:fill="F2F5F9"/>
            <w:tcMar>
              <w:top w:w="100" w:type="dxa"/>
              <w:bottom w:w="100" w:type="dxa"/>
              <w:left w:w="120" w:type="dxa"/>
              <w:right w:w="120" w:type="dxa"/>
            </w:tcMar>
          </w:tcPr>
          <w:p>
            <w:r>
              <w:rPr>
                <w:rFonts w:ascii="Arial" w:hAnsi="Arial"/>
                <w:sz w:val="19"/>
              </w:rPr>
              <w:t>• Thứ 2 - Thứ 7: 08:00 - 17:00</w:t>
              <w:br/>
              <w:t>(Thẻ sinh viên HCMUS được tích hợp sử dụng trực tiếp)</w:t>
            </w:r>
          </w:p>
        </w:tc>
      </w:tr>
    </w:tbl>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Tên Cơ Sở Dữ Liệu</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Nhà Xuất Bản / Tổ Chức</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Chuyên Ngành Trọng Tâm Phù Hợp</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Loại Tài Nguyên Cung Cấp</w:t>
            </w:r>
          </w:p>
        </w:tc>
      </w:tr>
      <w:tr>
        <w:tc>
          <w:tcPr>
            <w:tcW w:type="dxa" w:w="2412"/>
            <w:shd w:val="clear" w:color="auto" w:fill="F2F5F9"/>
            <w:tcMar>
              <w:top w:w="100" w:type="dxa"/>
              <w:bottom w:w="100" w:type="dxa"/>
              <w:left w:w="120" w:type="dxa"/>
              <w:right w:w="120" w:type="dxa"/>
            </w:tcMar>
          </w:tcPr>
          <w:p>
            <w:r>
              <w:rPr>
                <w:rFonts w:ascii="Arial" w:hAnsi="Arial"/>
                <w:sz w:val="19"/>
              </w:rPr>
              <w:t>IEEE Xplore</w:t>
              <w:br/>
              <w:t>Digital Library</w:t>
            </w:r>
          </w:p>
        </w:tc>
        <w:tc>
          <w:tcPr>
            <w:tcW w:type="dxa" w:w="2412"/>
            <w:shd w:val="clear" w:color="auto" w:fill="F2F5F9"/>
            <w:tcMar>
              <w:top w:w="100" w:type="dxa"/>
              <w:bottom w:w="100" w:type="dxa"/>
              <w:left w:w="120" w:type="dxa"/>
              <w:right w:w="120" w:type="dxa"/>
            </w:tcMar>
          </w:tcPr>
          <w:p>
            <w:r>
              <w:rPr>
                <w:rFonts w:ascii="Arial" w:hAnsi="Arial"/>
                <w:sz w:val="19"/>
              </w:rPr>
              <w:t>Institute of Electrical and Electronics Engineers (USA)</w:t>
            </w:r>
          </w:p>
        </w:tc>
        <w:tc>
          <w:tcPr>
            <w:tcW w:type="dxa" w:w="2412"/>
            <w:shd w:val="clear" w:color="auto" w:fill="F2F5F9"/>
            <w:tcMar>
              <w:top w:w="100" w:type="dxa"/>
              <w:bottom w:w="100" w:type="dxa"/>
              <w:left w:w="120" w:type="dxa"/>
              <w:right w:w="120" w:type="dxa"/>
            </w:tcMar>
          </w:tcPr>
          <w:p>
            <w:r>
              <w:rPr>
                <w:rFonts w:ascii="Arial" w:hAnsi="Arial"/>
                <w:sz w:val="19"/>
              </w:rPr>
              <w:t>Khoa học Máy tính, Trí tuệ nhân tạo, Kỹ thuật Phần mềm, Điện tử - Viễn thông, IoT, Vi mạch bán dẫn.</w:t>
            </w:r>
          </w:p>
        </w:tc>
        <w:tc>
          <w:tcPr>
            <w:tcW w:type="dxa" w:w="2412"/>
            <w:shd w:val="clear" w:color="auto" w:fill="F2F5F9"/>
            <w:tcMar>
              <w:top w:w="100" w:type="dxa"/>
              <w:bottom w:w="100" w:type="dxa"/>
              <w:left w:w="120" w:type="dxa"/>
              <w:right w:w="120" w:type="dxa"/>
            </w:tcMar>
          </w:tcPr>
          <w:p>
            <w:r>
              <w:rPr>
                <w:rFonts w:ascii="Arial" w:hAnsi="Arial"/>
                <w:sz w:val="19"/>
              </w:rPr>
              <w:t>Hơn 5 triệu bài báo toàn văn từ các tạp chí IEEE Transactions, hội nghị IEEE hàng đầu thế giới.</w:t>
            </w:r>
          </w:p>
        </w:tc>
      </w:tr>
      <w:tr>
        <w:tc>
          <w:tcPr>
            <w:tcW w:type="dxa" w:w="2412"/>
            <w:tcMar>
              <w:top w:w="100" w:type="dxa"/>
              <w:bottom w:w="100" w:type="dxa"/>
              <w:left w:w="120" w:type="dxa"/>
              <w:right w:w="120" w:type="dxa"/>
            </w:tcMar>
          </w:tcPr>
          <w:p>
            <w:r>
              <w:rPr>
                <w:rFonts w:ascii="Arial" w:hAnsi="Arial"/>
                <w:sz w:val="19"/>
              </w:rPr>
              <w:t>ScienceDirect</w:t>
            </w:r>
          </w:p>
        </w:tc>
        <w:tc>
          <w:tcPr>
            <w:tcW w:type="dxa" w:w="2412"/>
            <w:tcMar>
              <w:top w:w="100" w:type="dxa"/>
              <w:bottom w:w="100" w:type="dxa"/>
              <w:left w:w="120" w:type="dxa"/>
              <w:right w:w="120" w:type="dxa"/>
            </w:tcMar>
          </w:tcPr>
          <w:p>
            <w:r>
              <w:rPr>
                <w:rFonts w:ascii="Arial" w:hAnsi="Arial"/>
                <w:sz w:val="19"/>
              </w:rPr>
              <w:t>Elsevier (Hà Lan)</w:t>
            </w:r>
          </w:p>
        </w:tc>
        <w:tc>
          <w:tcPr>
            <w:tcW w:type="dxa" w:w="2412"/>
            <w:tcMar>
              <w:top w:w="100" w:type="dxa"/>
              <w:bottom w:w="100" w:type="dxa"/>
              <w:left w:w="120" w:type="dxa"/>
              <w:right w:w="120" w:type="dxa"/>
            </w:tcMar>
          </w:tcPr>
          <w:p>
            <w:r>
              <w:rPr>
                <w:rFonts w:ascii="Arial" w:hAnsi="Arial"/>
                <w:sz w:val="19"/>
              </w:rPr>
              <w:t>Đa ngành KHTN: Hóa học, Sinh học, Vật lý, Môi trường, Khoa học Vật liệu, Khoa học Trái đất.</w:t>
            </w:r>
          </w:p>
        </w:tc>
        <w:tc>
          <w:tcPr>
            <w:tcW w:type="dxa" w:w="2412"/>
            <w:tcMar>
              <w:top w:w="100" w:type="dxa"/>
              <w:bottom w:w="100" w:type="dxa"/>
              <w:left w:w="120" w:type="dxa"/>
              <w:right w:w="120" w:type="dxa"/>
            </w:tcMar>
          </w:tcPr>
          <w:p>
            <w:r>
              <w:rPr>
                <w:rFonts w:ascii="Arial" w:hAnsi="Arial"/>
                <w:sz w:val="19"/>
              </w:rPr>
              <w:t>Hàng triệu bài báo nghiên cứu gốc (Research Articles) từ hàng ngàn tạp chí ISI uy tín.</w:t>
            </w:r>
          </w:p>
        </w:tc>
      </w:tr>
      <w:tr>
        <w:tc>
          <w:tcPr>
            <w:tcW w:type="dxa" w:w="2412"/>
            <w:shd w:val="clear" w:color="auto" w:fill="F2F5F9"/>
            <w:tcMar>
              <w:top w:w="100" w:type="dxa"/>
              <w:bottom w:w="100" w:type="dxa"/>
              <w:left w:w="120" w:type="dxa"/>
              <w:right w:w="120" w:type="dxa"/>
            </w:tcMar>
          </w:tcPr>
          <w:p>
            <w:r>
              <w:rPr>
                <w:rFonts w:ascii="Arial" w:hAnsi="Arial"/>
                <w:sz w:val="19"/>
              </w:rPr>
              <w:t>SpringerLink</w:t>
            </w:r>
          </w:p>
        </w:tc>
        <w:tc>
          <w:tcPr>
            <w:tcW w:type="dxa" w:w="2412"/>
            <w:shd w:val="clear" w:color="auto" w:fill="F2F5F9"/>
            <w:tcMar>
              <w:top w:w="100" w:type="dxa"/>
              <w:bottom w:w="100" w:type="dxa"/>
              <w:left w:w="120" w:type="dxa"/>
              <w:right w:w="120" w:type="dxa"/>
            </w:tcMar>
          </w:tcPr>
          <w:p>
            <w:r>
              <w:rPr>
                <w:rFonts w:ascii="Arial" w:hAnsi="Arial"/>
                <w:sz w:val="19"/>
              </w:rPr>
              <w:t>Springer Nature (Đức)</w:t>
            </w:r>
          </w:p>
        </w:tc>
        <w:tc>
          <w:tcPr>
            <w:tcW w:type="dxa" w:w="2412"/>
            <w:shd w:val="clear" w:color="auto" w:fill="F2F5F9"/>
            <w:tcMar>
              <w:top w:w="100" w:type="dxa"/>
              <w:bottom w:w="100" w:type="dxa"/>
              <w:left w:w="120" w:type="dxa"/>
              <w:right w:w="120" w:type="dxa"/>
            </w:tcMar>
          </w:tcPr>
          <w:p>
            <w:r>
              <w:rPr>
                <w:rFonts w:ascii="Arial" w:hAnsi="Arial"/>
                <w:sz w:val="19"/>
              </w:rPr>
              <w:t>Toán học, Toán ứng dụng, Tin học, Khoa học Tự nhiên, Y sinh học.</w:t>
            </w:r>
          </w:p>
        </w:tc>
        <w:tc>
          <w:tcPr>
            <w:tcW w:type="dxa" w:w="2412"/>
            <w:shd w:val="clear" w:color="auto" w:fill="F2F5F9"/>
            <w:tcMar>
              <w:top w:w="100" w:type="dxa"/>
              <w:bottom w:w="100" w:type="dxa"/>
              <w:left w:w="120" w:type="dxa"/>
              <w:right w:w="120" w:type="dxa"/>
            </w:tcMar>
          </w:tcPr>
          <w:p>
            <w:r>
              <w:rPr>
                <w:rFonts w:ascii="Arial" w:hAnsi="Arial"/>
                <w:sz w:val="19"/>
              </w:rPr>
              <w:t>Bộ sách chuyên khảo (Monographs), sách giáo trình đại học điện tử (eBooks), bài báo bình duyệt.</w:t>
            </w:r>
          </w:p>
        </w:tc>
      </w:tr>
      <w:tr>
        <w:tc>
          <w:tcPr>
            <w:tcW w:type="dxa" w:w="2412"/>
            <w:tcMar>
              <w:top w:w="100" w:type="dxa"/>
              <w:bottom w:w="100" w:type="dxa"/>
              <w:left w:w="120" w:type="dxa"/>
              <w:right w:w="120" w:type="dxa"/>
            </w:tcMar>
          </w:tcPr>
          <w:p>
            <w:r>
              <w:rPr>
                <w:rFonts w:ascii="Arial" w:hAnsi="Arial"/>
                <w:sz w:val="19"/>
              </w:rPr>
              <w:t>Web of Science</w:t>
              <w:br/>
              <w:t>(Clarivate)</w:t>
            </w:r>
          </w:p>
        </w:tc>
        <w:tc>
          <w:tcPr>
            <w:tcW w:type="dxa" w:w="2412"/>
            <w:tcMar>
              <w:top w:w="100" w:type="dxa"/>
              <w:bottom w:w="100" w:type="dxa"/>
              <w:left w:w="120" w:type="dxa"/>
              <w:right w:w="120" w:type="dxa"/>
            </w:tcMar>
          </w:tcPr>
          <w:p>
            <w:r>
              <w:rPr>
                <w:rFonts w:ascii="Arial" w:hAnsi="Arial"/>
                <w:sz w:val="19"/>
              </w:rPr>
              <w:t>Clarivate Analytics (USA)</w:t>
            </w:r>
          </w:p>
        </w:tc>
        <w:tc>
          <w:tcPr>
            <w:tcW w:type="dxa" w:w="2412"/>
            <w:tcMar>
              <w:top w:w="100" w:type="dxa"/>
              <w:bottom w:w="100" w:type="dxa"/>
              <w:left w:w="120" w:type="dxa"/>
              <w:right w:w="120" w:type="dxa"/>
            </w:tcMar>
          </w:tcPr>
          <w:p>
            <w:r>
              <w:rPr>
                <w:rFonts w:ascii="Arial" w:hAnsi="Arial"/>
                <w:sz w:val="19"/>
              </w:rPr>
              <w:t>Tra cứu toàn cầu danh mục tạp chí uy tín SCIE/SSCI (Q1, Q2, Q3, Q4), chỉ số trích dẫn tác giả, h-index.</w:t>
            </w:r>
          </w:p>
        </w:tc>
        <w:tc>
          <w:tcPr>
            <w:tcW w:type="dxa" w:w="2412"/>
            <w:tcMar>
              <w:top w:w="100" w:type="dxa"/>
              <w:bottom w:w="100" w:type="dxa"/>
              <w:left w:w="120" w:type="dxa"/>
              <w:right w:w="120" w:type="dxa"/>
            </w:tcMar>
          </w:tcPr>
          <w:p>
            <w:r>
              <w:rPr>
                <w:rFonts w:ascii="Arial" w:hAnsi="Arial"/>
                <w:sz w:val="19"/>
              </w:rPr>
              <w:t>Dữ liệu trích dẫn khoa học tiêu chuẩn vàng thế giới để đánh giá chất lượng bài báo.</w:t>
            </w:r>
          </w:p>
        </w:tc>
      </w:tr>
      <w:tr>
        <w:tc>
          <w:tcPr>
            <w:tcW w:type="dxa" w:w="2412"/>
            <w:shd w:val="clear" w:color="auto" w:fill="F2F5F9"/>
            <w:tcMar>
              <w:top w:w="100" w:type="dxa"/>
              <w:bottom w:w="100" w:type="dxa"/>
              <w:left w:w="120" w:type="dxa"/>
              <w:right w:w="120" w:type="dxa"/>
            </w:tcMar>
          </w:tcPr>
          <w:p>
            <w:r>
              <w:rPr>
                <w:rFonts w:ascii="Arial" w:hAnsi="Arial"/>
                <w:sz w:val="19"/>
              </w:rPr>
              <w:t>Scopus</w:t>
            </w:r>
          </w:p>
        </w:tc>
        <w:tc>
          <w:tcPr>
            <w:tcW w:type="dxa" w:w="2412"/>
            <w:shd w:val="clear" w:color="auto" w:fill="F2F5F9"/>
            <w:tcMar>
              <w:top w:w="100" w:type="dxa"/>
              <w:bottom w:w="100" w:type="dxa"/>
              <w:left w:w="120" w:type="dxa"/>
              <w:right w:w="120" w:type="dxa"/>
            </w:tcMar>
          </w:tcPr>
          <w:p>
            <w:r>
              <w:rPr>
                <w:rFonts w:ascii="Arial" w:hAnsi="Arial"/>
                <w:sz w:val="19"/>
              </w:rPr>
              <w:t>Elsevier</w:t>
            </w:r>
          </w:p>
        </w:tc>
        <w:tc>
          <w:tcPr>
            <w:tcW w:type="dxa" w:w="2412"/>
            <w:shd w:val="clear" w:color="auto" w:fill="F2F5F9"/>
            <w:tcMar>
              <w:top w:w="100" w:type="dxa"/>
              <w:bottom w:w="100" w:type="dxa"/>
              <w:left w:w="120" w:type="dxa"/>
              <w:right w:w="120" w:type="dxa"/>
            </w:tcMar>
          </w:tcPr>
          <w:p>
            <w:r>
              <w:rPr>
                <w:rFonts w:ascii="Arial" w:hAnsi="Arial"/>
                <w:sz w:val="19"/>
              </w:rPr>
              <w:t>Cơ sở dữ liệu tóm tắt và trích dẫn khoa học lớn nhất thế giới, bao quát hàng chục ngàn tạp chí.</w:t>
            </w:r>
          </w:p>
        </w:tc>
        <w:tc>
          <w:tcPr>
            <w:tcW w:type="dxa" w:w="2412"/>
            <w:shd w:val="clear" w:color="auto" w:fill="F2F5F9"/>
            <w:tcMar>
              <w:top w:w="100" w:type="dxa"/>
              <w:bottom w:w="100" w:type="dxa"/>
              <w:left w:w="120" w:type="dxa"/>
              <w:right w:w="120" w:type="dxa"/>
            </w:tcMar>
          </w:tcPr>
          <w:p>
            <w:r>
              <w:rPr>
                <w:rFonts w:ascii="Arial" w:hAnsi="Arial"/>
                <w:sz w:val="19"/>
              </w:rPr>
              <w:t>Tra cứu tổng quan nghiên cứu (Literature Review), phân tích mạng lưới tác giả.</w:t>
            </w:r>
          </w:p>
        </w:tc>
      </w:tr>
      <w:tr>
        <w:tc>
          <w:tcPr>
            <w:tcW w:type="dxa" w:w="2412"/>
            <w:tcMar>
              <w:top w:w="100" w:type="dxa"/>
              <w:bottom w:w="100" w:type="dxa"/>
              <w:left w:w="120" w:type="dxa"/>
              <w:right w:w="120" w:type="dxa"/>
            </w:tcMar>
          </w:tcPr>
          <w:p>
            <w:r>
              <w:rPr>
                <w:rFonts w:ascii="Arial" w:hAnsi="Arial"/>
                <w:sz w:val="19"/>
              </w:rPr>
              <w:t>ACS Publications</w:t>
            </w:r>
          </w:p>
        </w:tc>
        <w:tc>
          <w:tcPr>
            <w:tcW w:type="dxa" w:w="2412"/>
            <w:tcMar>
              <w:top w:w="100" w:type="dxa"/>
              <w:bottom w:w="100" w:type="dxa"/>
              <w:left w:w="120" w:type="dxa"/>
              <w:right w:w="120" w:type="dxa"/>
            </w:tcMar>
          </w:tcPr>
          <w:p>
            <w:r>
              <w:rPr>
                <w:rFonts w:ascii="Arial" w:hAnsi="Arial"/>
                <w:sz w:val="19"/>
              </w:rPr>
              <w:t>American Chemical Society</w:t>
            </w:r>
          </w:p>
        </w:tc>
        <w:tc>
          <w:tcPr>
            <w:tcW w:type="dxa" w:w="2412"/>
            <w:tcMar>
              <w:top w:w="100" w:type="dxa"/>
              <w:bottom w:w="100" w:type="dxa"/>
              <w:left w:w="120" w:type="dxa"/>
              <w:right w:w="120" w:type="dxa"/>
            </w:tcMar>
          </w:tcPr>
          <w:p>
            <w:r>
              <w:rPr>
                <w:rFonts w:ascii="Arial" w:hAnsi="Arial"/>
                <w:sz w:val="19"/>
              </w:rPr>
              <w:t>Hóa học toàn diện: Hóa hữu cơ, Hóa vô cơ, Hóa lý, Hóa phân tích, Hóa dược, Hóa polyme.</w:t>
            </w:r>
          </w:p>
        </w:tc>
        <w:tc>
          <w:tcPr>
            <w:tcW w:type="dxa" w:w="2412"/>
            <w:tcMar>
              <w:top w:w="100" w:type="dxa"/>
              <w:bottom w:w="100" w:type="dxa"/>
              <w:left w:w="120" w:type="dxa"/>
              <w:right w:w="120" w:type="dxa"/>
            </w:tcMar>
          </w:tcPr>
          <w:p>
            <w:r>
              <w:rPr>
                <w:rFonts w:ascii="Arial" w:hAnsi="Arial"/>
                <w:sz w:val="19"/>
              </w:rPr>
              <w:t>Các tạp chí hóa học danh giá nhất thế giới: JACS, Nano Letters, Analytical Chemistry.</w:t>
            </w:r>
          </w:p>
        </w:tc>
      </w:tr>
      <w:tr>
        <w:tc>
          <w:tcPr>
            <w:tcW w:type="dxa" w:w="2412"/>
            <w:shd w:val="clear" w:color="auto" w:fill="F2F5F9"/>
            <w:tcMar>
              <w:top w:w="100" w:type="dxa"/>
              <w:bottom w:w="100" w:type="dxa"/>
              <w:left w:w="120" w:type="dxa"/>
              <w:right w:w="120" w:type="dxa"/>
            </w:tcMar>
          </w:tcPr>
          <w:p>
            <w:r>
              <w:rPr>
                <w:rFonts w:ascii="Arial" w:hAnsi="Arial"/>
                <w:sz w:val="19"/>
              </w:rPr>
              <w:t>APS Physics</w:t>
            </w:r>
          </w:p>
        </w:tc>
        <w:tc>
          <w:tcPr>
            <w:tcW w:type="dxa" w:w="2412"/>
            <w:shd w:val="clear" w:color="auto" w:fill="F2F5F9"/>
            <w:tcMar>
              <w:top w:w="100" w:type="dxa"/>
              <w:bottom w:w="100" w:type="dxa"/>
              <w:left w:w="120" w:type="dxa"/>
              <w:right w:w="120" w:type="dxa"/>
            </w:tcMar>
          </w:tcPr>
          <w:p>
            <w:r>
              <w:rPr>
                <w:rFonts w:ascii="Arial" w:hAnsi="Arial"/>
                <w:sz w:val="19"/>
              </w:rPr>
              <w:t>American Physical Society</w:t>
            </w:r>
          </w:p>
        </w:tc>
        <w:tc>
          <w:tcPr>
            <w:tcW w:type="dxa" w:w="2412"/>
            <w:shd w:val="clear" w:color="auto" w:fill="F2F5F9"/>
            <w:tcMar>
              <w:top w:w="100" w:type="dxa"/>
              <w:bottom w:w="100" w:type="dxa"/>
              <w:left w:w="120" w:type="dxa"/>
              <w:right w:w="120" w:type="dxa"/>
            </w:tcMar>
          </w:tcPr>
          <w:p>
            <w:r>
              <w:rPr>
                <w:rFonts w:ascii="Arial" w:hAnsi="Arial"/>
                <w:sz w:val="19"/>
              </w:rPr>
              <w:t>Vật lý lý thuyết, Vật lý chất rắn, Vật lý lượng tử, Quang học, Vật lý hạt nhân.</w:t>
            </w:r>
          </w:p>
        </w:tc>
        <w:tc>
          <w:tcPr>
            <w:tcW w:type="dxa" w:w="2412"/>
            <w:shd w:val="clear" w:color="auto" w:fill="F2F5F9"/>
            <w:tcMar>
              <w:top w:w="100" w:type="dxa"/>
              <w:bottom w:w="100" w:type="dxa"/>
              <w:left w:w="120" w:type="dxa"/>
              <w:right w:w="120" w:type="dxa"/>
            </w:tcMar>
          </w:tcPr>
          <w:p>
            <w:r>
              <w:rPr>
                <w:rFonts w:ascii="Arial" w:hAnsi="Arial"/>
                <w:sz w:val="19"/>
              </w:rPr>
              <w:t>Tập san đỉnh cao Physical Review Letters (PRL), Physical Review series.</w:t>
            </w:r>
          </w:p>
        </w:tc>
      </w:tr>
      <w:tr>
        <w:tc>
          <w:tcPr>
            <w:tcW w:type="dxa" w:w="2412"/>
            <w:tcMar>
              <w:top w:w="100" w:type="dxa"/>
              <w:bottom w:w="100" w:type="dxa"/>
              <w:left w:w="120" w:type="dxa"/>
              <w:right w:w="120" w:type="dxa"/>
            </w:tcMar>
          </w:tcPr>
          <w:p>
            <w:r>
              <w:rPr>
                <w:rFonts w:ascii="Arial" w:hAnsi="Arial"/>
                <w:sz w:val="19"/>
              </w:rPr>
              <w:t>ProQuest Central</w:t>
            </w:r>
          </w:p>
        </w:tc>
        <w:tc>
          <w:tcPr>
            <w:tcW w:type="dxa" w:w="2412"/>
            <w:tcMar>
              <w:top w:w="100" w:type="dxa"/>
              <w:bottom w:w="100" w:type="dxa"/>
              <w:left w:w="120" w:type="dxa"/>
              <w:right w:w="120" w:type="dxa"/>
            </w:tcMar>
          </w:tcPr>
          <w:p>
            <w:r>
              <w:rPr>
                <w:rFonts w:ascii="Arial" w:hAnsi="Arial"/>
                <w:sz w:val="19"/>
              </w:rPr>
              <w:t>ProQuest (USA)</w:t>
            </w:r>
          </w:p>
        </w:tc>
        <w:tc>
          <w:tcPr>
            <w:tcW w:type="dxa" w:w="2412"/>
            <w:tcMar>
              <w:top w:w="100" w:type="dxa"/>
              <w:bottom w:w="100" w:type="dxa"/>
              <w:left w:w="120" w:type="dxa"/>
              <w:right w:w="120" w:type="dxa"/>
            </w:tcMar>
          </w:tcPr>
          <w:p>
            <w:r>
              <w:rPr>
                <w:rFonts w:ascii="Arial" w:hAnsi="Arial"/>
                <w:sz w:val="19"/>
              </w:rPr>
              <w:t>Đa ngành, luận văn Thạc sĩ - Tiến sĩ quốc tế, kỷ yếu hội thảo khoa học.</w:t>
            </w:r>
          </w:p>
        </w:tc>
        <w:tc>
          <w:tcPr>
            <w:tcW w:type="dxa" w:w="2412"/>
            <w:tcMar>
              <w:top w:w="100" w:type="dxa"/>
              <w:bottom w:w="100" w:type="dxa"/>
              <w:left w:w="120" w:type="dxa"/>
              <w:right w:w="120" w:type="dxa"/>
            </w:tcMar>
          </w:tcPr>
          <w:p>
            <w:r>
              <w:rPr>
                <w:rFonts w:ascii="Arial" w:hAnsi="Arial"/>
                <w:sz w:val="19"/>
              </w:rPr>
              <w:t>Toàn văn hàng triệu luận án tiến sĩ và tài liệu nghiên cứu chuyên sâu.</w:t>
            </w:r>
          </w:p>
        </w:tc>
      </w:tr>
      <w:tr>
        <w:tc>
          <w:tcPr>
            <w:tcW w:type="dxa" w:w="2412"/>
            <w:shd w:val="clear" w:color="auto" w:fill="F2F5F9"/>
            <w:tcMar>
              <w:top w:w="100" w:type="dxa"/>
              <w:bottom w:w="100" w:type="dxa"/>
              <w:left w:w="120" w:type="dxa"/>
              <w:right w:w="120" w:type="dxa"/>
            </w:tcMar>
          </w:tcPr>
          <w:p>
            <w:r>
              <w:rPr>
                <w:rFonts w:ascii="Arial" w:hAnsi="Arial"/>
                <w:sz w:val="19"/>
              </w:rPr>
              <w:t>DSpace ĐHQG-HCM</w:t>
              <w:br/>
              <w:t>(Repository)</w:t>
            </w:r>
          </w:p>
        </w:tc>
        <w:tc>
          <w:tcPr>
            <w:tcW w:type="dxa" w:w="2412"/>
            <w:shd w:val="clear" w:color="auto" w:fill="F2F5F9"/>
            <w:tcMar>
              <w:top w:w="100" w:type="dxa"/>
              <w:bottom w:w="100" w:type="dxa"/>
              <w:left w:w="120" w:type="dxa"/>
              <w:right w:w="120" w:type="dxa"/>
            </w:tcMar>
          </w:tcPr>
          <w:p>
            <w:r>
              <w:rPr>
                <w:rFonts w:ascii="Arial" w:hAnsi="Arial"/>
                <w:sz w:val="19"/>
              </w:rPr>
              <w:t>Đại học Quốc gia TP.HCM</w:t>
            </w:r>
          </w:p>
        </w:tc>
        <w:tc>
          <w:tcPr>
            <w:tcW w:type="dxa" w:w="2412"/>
            <w:shd w:val="clear" w:color="auto" w:fill="F2F5F9"/>
            <w:tcMar>
              <w:top w:w="100" w:type="dxa"/>
              <w:bottom w:w="100" w:type="dxa"/>
              <w:left w:w="120" w:type="dxa"/>
              <w:right w:w="120" w:type="dxa"/>
            </w:tcMar>
          </w:tcPr>
          <w:p>
            <w:r>
              <w:rPr>
                <w:rFonts w:ascii="Arial" w:hAnsi="Arial"/>
                <w:sz w:val="19"/>
              </w:rPr>
              <w:t>Luận văn thạc sĩ, Khóa luận tốt nghiệp cử nhân, Đề tài NCKH bảo vệ tại HCMUS.</w:t>
            </w:r>
          </w:p>
        </w:tc>
        <w:tc>
          <w:tcPr>
            <w:tcW w:type="dxa" w:w="2412"/>
            <w:shd w:val="clear" w:color="auto" w:fill="F2F5F9"/>
            <w:tcMar>
              <w:top w:w="100" w:type="dxa"/>
              <w:bottom w:w="100" w:type="dxa"/>
              <w:left w:w="120" w:type="dxa"/>
              <w:right w:w="120" w:type="dxa"/>
            </w:tcMar>
          </w:tcPr>
          <w:p>
            <w:r>
              <w:rPr>
                <w:rFonts w:ascii="Arial" w:hAnsi="Arial"/>
                <w:sz w:val="19"/>
              </w:rPr>
              <w:t>Kho tri thức nội sinh toàn văn tham khảo cấu trúc đề tài khóa luận.</w:t>
            </w:r>
          </w:p>
        </w:tc>
      </w:tr>
    </w:tbl>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Toán Tử / Cú Pháp</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Chức Năng Tìm Kiếm</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Ví Dụ Cụ Thể</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Kết Quả Trả Về</w:t>
            </w:r>
          </w:p>
        </w:tc>
      </w:tr>
      <w:tr>
        <w:tc>
          <w:tcPr>
            <w:tcW w:type="dxa" w:w="2412"/>
            <w:shd w:val="clear" w:color="auto" w:fill="F2F5F9"/>
            <w:tcMar>
              <w:top w:w="100" w:type="dxa"/>
              <w:bottom w:w="100" w:type="dxa"/>
              <w:left w:w="120" w:type="dxa"/>
              <w:right w:w="120" w:type="dxa"/>
            </w:tcMar>
          </w:tcPr>
          <w:p>
            <w:r>
              <w:rPr>
                <w:rFonts w:ascii="Arial" w:hAnsi="Arial"/>
                <w:sz w:val="19"/>
              </w:rPr>
              <w:t>AND</w:t>
            </w:r>
          </w:p>
        </w:tc>
        <w:tc>
          <w:tcPr>
            <w:tcW w:type="dxa" w:w="2412"/>
            <w:shd w:val="clear" w:color="auto" w:fill="F2F5F9"/>
            <w:tcMar>
              <w:top w:w="100" w:type="dxa"/>
              <w:bottom w:w="100" w:type="dxa"/>
              <w:left w:w="120" w:type="dxa"/>
              <w:right w:w="120" w:type="dxa"/>
            </w:tcMar>
          </w:tcPr>
          <w:p>
            <w:r>
              <w:rPr>
                <w:rFonts w:ascii="Arial" w:hAnsi="Arial"/>
                <w:sz w:val="19"/>
              </w:rPr>
              <w:t>Thu hẹp phạm vi: Bài viết bắt buộc phải chứa đồng thời cả hai từ khóa.</w:t>
            </w:r>
          </w:p>
        </w:tc>
        <w:tc>
          <w:tcPr>
            <w:tcW w:type="dxa" w:w="2412"/>
            <w:shd w:val="clear" w:color="auto" w:fill="F2F5F9"/>
            <w:tcMar>
              <w:top w:w="100" w:type="dxa"/>
              <w:bottom w:w="100" w:type="dxa"/>
              <w:left w:w="120" w:type="dxa"/>
              <w:right w:w="120" w:type="dxa"/>
            </w:tcMar>
          </w:tcPr>
          <w:p>
            <w:r>
              <w:rPr>
                <w:rFonts w:ascii="Arial" w:hAnsi="Arial"/>
                <w:sz w:val="19"/>
              </w:rPr>
              <w:t>machine learning AND healthcare</w:t>
            </w:r>
          </w:p>
        </w:tc>
        <w:tc>
          <w:tcPr>
            <w:tcW w:type="dxa" w:w="2412"/>
            <w:shd w:val="clear" w:color="auto" w:fill="F2F5F9"/>
            <w:tcMar>
              <w:top w:w="100" w:type="dxa"/>
              <w:bottom w:w="100" w:type="dxa"/>
              <w:left w:w="120" w:type="dxa"/>
              <w:right w:w="120" w:type="dxa"/>
            </w:tcMar>
          </w:tcPr>
          <w:p>
            <w:r>
              <w:rPr>
                <w:rFonts w:ascii="Arial" w:hAnsi="Arial"/>
                <w:sz w:val="19"/>
              </w:rPr>
              <w:t>Chỉ trả về các bài báo vừa nói về Machine Learning vừa ứng dụng trong y tế.</w:t>
            </w:r>
          </w:p>
        </w:tc>
      </w:tr>
      <w:tr>
        <w:tc>
          <w:tcPr>
            <w:tcW w:type="dxa" w:w="2412"/>
            <w:tcMar>
              <w:top w:w="100" w:type="dxa"/>
              <w:bottom w:w="100" w:type="dxa"/>
              <w:left w:w="120" w:type="dxa"/>
              <w:right w:w="120" w:type="dxa"/>
            </w:tcMar>
          </w:tcPr>
          <w:p>
            <w:r>
              <w:rPr>
                <w:rFonts w:ascii="Arial" w:hAnsi="Arial"/>
                <w:sz w:val="19"/>
              </w:rPr>
              <w:t>OR</w:t>
            </w:r>
          </w:p>
        </w:tc>
        <w:tc>
          <w:tcPr>
            <w:tcW w:type="dxa" w:w="2412"/>
            <w:tcMar>
              <w:top w:w="100" w:type="dxa"/>
              <w:bottom w:w="100" w:type="dxa"/>
              <w:left w:w="120" w:type="dxa"/>
              <w:right w:w="120" w:type="dxa"/>
            </w:tcMar>
          </w:tcPr>
          <w:p>
            <w:r>
              <w:rPr>
                <w:rFonts w:ascii="Arial" w:hAnsi="Arial"/>
                <w:sz w:val="19"/>
              </w:rPr>
              <w:t>Mở rộng phạm vi: Bài viết chứa một trong các từ khóa (dùng cho các từ đồng nghĩa).</w:t>
            </w:r>
          </w:p>
        </w:tc>
        <w:tc>
          <w:tcPr>
            <w:tcW w:type="dxa" w:w="2412"/>
            <w:tcMar>
              <w:top w:w="100" w:type="dxa"/>
              <w:bottom w:w="100" w:type="dxa"/>
              <w:left w:w="120" w:type="dxa"/>
              <w:right w:w="120" w:type="dxa"/>
            </w:tcMar>
          </w:tcPr>
          <w:p>
            <w:r>
              <w:rPr>
                <w:rFonts w:ascii="Arial" w:hAnsi="Arial"/>
                <w:sz w:val="19"/>
              </w:rPr>
              <w:t>"artificial intelligence" OR "deep learning"</w:t>
            </w:r>
          </w:p>
        </w:tc>
        <w:tc>
          <w:tcPr>
            <w:tcW w:type="dxa" w:w="2412"/>
            <w:tcMar>
              <w:top w:w="100" w:type="dxa"/>
              <w:bottom w:w="100" w:type="dxa"/>
              <w:left w:w="120" w:type="dxa"/>
              <w:right w:w="120" w:type="dxa"/>
            </w:tcMar>
          </w:tcPr>
          <w:p>
            <w:r>
              <w:rPr>
                <w:rFonts w:ascii="Arial" w:hAnsi="Arial"/>
                <w:sz w:val="19"/>
              </w:rPr>
              <w:t>Trả về các bài báo chứa một trong hai thuật ngữ AI hoặc Deep Learning.</w:t>
            </w:r>
          </w:p>
        </w:tc>
      </w:tr>
      <w:tr>
        <w:tc>
          <w:tcPr>
            <w:tcW w:type="dxa" w:w="2412"/>
            <w:shd w:val="clear" w:color="auto" w:fill="F2F5F9"/>
            <w:tcMar>
              <w:top w:w="100" w:type="dxa"/>
              <w:bottom w:w="100" w:type="dxa"/>
              <w:left w:w="120" w:type="dxa"/>
              <w:right w:w="120" w:type="dxa"/>
            </w:tcMar>
          </w:tcPr>
          <w:p>
            <w:r>
              <w:rPr>
                <w:rFonts w:ascii="Arial" w:hAnsi="Arial"/>
                <w:sz w:val="19"/>
              </w:rPr>
              <w:t>NOT</w:t>
            </w:r>
          </w:p>
        </w:tc>
        <w:tc>
          <w:tcPr>
            <w:tcW w:type="dxa" w:w="2412"/>
            <w:shd w:val="clear" w:color="auto" w:fill="F2F5F9"/>
            <w:tcMar>
              <w:top w:w="100" w:type="dxa"/>
              <w:bottom w:w="100" w:type="dxa"/>
              <w:left w:w="120" w:type="dxa"/>
              <w:right w:w="120" w:type="dxa"/>
            </w:tcMar>
          </w:tcPr>
          <w:p>
            <w:r>
              <w:rPr>
                <w:rFonts w:ascii="Arial" w:hAnsi="Arial"/>
                <w:sz w:val="19"/>
              </w:rPr>
              <w:t>Loại trừ từ khóa không mong muốn để lọc nhiễu kết quả.</w:t>
            </w:r>
          </w:p>
        </w:tc>
        <w:tc>
          <w:tcPr>
            <w:tcW w:type="dxa" w:w="2412"/>
            <w:shd w:val="clear" w:color="auto" w:fill="F2F5F9"/>
            <w:tcMar>
              <w:top w:w="100" w:type="dxa"/>
              <w:bottom w:w="100" w:type="dxa"/>
              <w:left w:w="120" w:type="dxa"/>
              <w:right w:w="120" w:type="dxa"/>
            </w:tcMar>
          </w:tcPr>
          <w:p>
            <w:r>
              <w:rPr>
                <w:rFonts w:ascii="Arial" w:hAnsi="Arial"/>
                <w:sz w:val="19"/>
              </w:rPr>
              <w:t>"cancer treatment" NOT "chemotherapy"</w:t>
            </w:r>
          </w:p>
        </w:tc>
        <w:tc>
          <w:tcPr>
            <w:tcW w:type="dxa" w:w="2412"/>
            <w:shd w:val="clear" w:color="auto" w:fill="F2F5F9"/>
            <w:tcMar>
              <w:top w:w="100" w:type="dxa"/>
              <w:bottom w:w="100" w:type="dxa"/>
              <w:left w:w="120" w:type="dxa"/>
              <w:right w:w="120" w:type="dxa"/>
            </w:tcMar>
          </w:tcPr>
          <w:p>
            <w:r>
              <w:rPr>
                <w:rFonts w:ascii="Arial" w:hAnsi="Arial"/>
                <w:sz w:val="19"/>
              </w:rPr>
              <w:t>Tìm phương pháp điều trị ung thư nhưng loại bỏ hoàn toàn các bài về hóa trị.</w:t>
            </w:r>
          </w:p>
        </w:tc>
      </w:tr>
      <w:tr>
        <w:tc>
          <w:tcPr>
            <w:tcW w:type="dxa" w:w="2412"/>
            <w:tcMar>
              <w:top w:w="100" w:type="dxa"/>
              <w:bottom w:w="100" w:type="dxa"/>
              <w:left w:w="120" w:type="dxa"/>
              <w:right w:w="120" w:type="dxa"/>
            </w:tcMar>
          </w:tcPr>
          <w:p>
            <w:r>
              <w:rPr>
                <w:rFonts w:ascii="Arial" w:hAnsi="Arial"/>
                <w:sz w:val="19"/>
              </w:rPr>
              <w:t>Dấu ngoặc kép "..."</w:t>
            </w:r>
          </w:p>
        </w:tc>
        <w:tc>
          <w:tcPr>
            <w:tcW w:type="dxa" w:w="2412"/>
            <w:tcMar>
              <w:top w:w="100" w:type="dxa"/>
              <w:bottom w:w="100" w:type="dxa"/>
              <w:left w:w="120" w:type="dxa"/>
              <w:right w:w="120" w:type="dxa"/>
            </w:tcMar>
          </w:tcPr>
          <w:p>
            <w:r>
              <w:rPr>
                <w:rFonts w:ascii="Arial" w:hAnsi="Arial"/>
                <w:sz w:val="19"/>
              </w:rPr>
              <w:t>Tìm chính xác cụm từ liền kề nhau, không bị tách rời từng từ đơn.</w:t>
            </w:r>
          </w:p>
        </w:tc>
        <w:tc>
          <w:tcPr>
            <w:tcW w:type="dxa" w:w="2412"/>
            <w:tcMar>
              <w:top w:w="100" w:type="dxa"/>
              <w:bottom w:w="100" w:type="dxa"/>
              <w:left w:w="120" w:type="dxa"/>
              <w:right w:w="120" w:type="dxa"/>
            </w:tcMar>
          </w:tcPr>
          <w:p>
            <w:r>
              <w:rPr>
                <w:rFonts w:ascii="Arial" w:hAnsi="Arial"/>
                <w:sz w:val="19"/>
              </w:rPr>
              <w:t>"natural language processing"</w:t>
            </w:r>
          </w:p>
        </w:tc>
        <w:tc>
          <w:tcPr>
            <w:tcW w:type="dxa" w:w="2412"/>
            <w:tcMar>
              <w:top w:w="100" w:type="dxa"/>
              <w:bottom w:w="100" w:type="dxa"/>
              <w:left w:w="120" w:type="dxa"/>
              <w:right w:w="120" w:type="dxa"/>
            </w:tcMar>
          </w:tcPr>
          <w:p>
            <w:r>
              <w:rPr>
                <w:rFonts w:ascii="Arial" w:hAnsi="Arial"/>
                <w:sz w:val="19"/>
              </w:rPr>
              <w:t>Chỉ tìm đúng cụm từ chuẩn NLP, không tìm các từ rời rạc language, processing.</w:t>
            </w:r>
          </w:p>
        </w:tc>
      </w:tr>
      <w:tr>
        <w:tc>
          <w:tcPr>
            <w:tcW w:type="dxa" w:w="2412"/>
            <w:shd w:val="clear" w:color="auto" w:fill="F2F5F9"/>
            <w:tcMar>
              <w:top w:w="100" w:type="dxa"/>
              <w:bottom w:w="100" w:type="dxa"/>
              <w:left w:w="120" w:type="dxa"/>
              <w:right w:w="120" w:type="dxa"/>
            </w:tcMar>
          </w:tcPr>
          <w:p>
            <w:r>
              <w:rPr>
                <w:rFonts w:ascii="Arial" w:hAnsi="Arial"/>
                <w:sz w:val="19"/>
              </w:rPr>
              <w:t>Dấu hoa thị * (Wildcard)</w:t>
            </w:r>
          </w:p>
        </w:tc>
        <w:tc>
          <w:tcPr>
            <w:tcW w:type="dxa" w:w="2412"/>
            <w:shd w:val="clear" w:color="auto" w:fill="F2F5F9"/>
            <w:tcMar>
              <w:top w:w="100" w:type="dxa"/>
              <w:bottom w:w="100" w:type="dxa"/>
              <w:left w:w="120" w:type="dxa"/>
              <w:right w:w="120" w:type="dxa"/>
            </w:tcMar>
          </w:tcPr>
          <w:p>
            <w:r>
              <w:rPr>
                <w:rFonts w:ascii="Arial" w:hAnsi="Arial"/>
                <w:sz w:val="19"/>
              </w:rPr>
              <w:t>Tìm mở rộng các từ phái sinh bắt đầu bằng một gốc từ.</w:t>
            </w:r>
          </w:p>
        </w:tc>
        <w:tc>
          <w:tcPr>
            <w:tcW w:type="dxa" w:w="2412"/>
            <w:shd w:val="clear" w:color="auto" w:fill="F2F5F9"/>
            <w:tcMar>
              <w:top w:w="100" w:type="dxa"/>
              <w:bottom w:w="100" w:type="dxa"/>
              <w:left w:w="120" w:type="dxa"/>
              <w:right w:w="120" w:type="dxa"/>
            </w:tcMar>
          </w:tcPr>
          <w:p>
            <w:r>
              <w:rPr>
                <w:rFonts w:ascii="Arial" w:hAnsi="Arial"/>
                <w:sz w:val="19"/>
              </w:rPr>
              <w:t>comput*</w:t>
            </w:r>
          </w:p>
        </w:tc>
        <w:tc>
          <w:tcPr>
            <w:tcW w:type="dxa" w:w="2412"/>
            <w:shd w:val="clear" w:color="auto" w:fill="F2F5F9"/>
            <w:tcMar>
              <w:top w:w="100" w:type="dxa"/>
              <w:bottom w:w="100" w:type="dxa"/>
              <w:left w:w="120" w:type="dxa"/>
              <w:right w:w="120" w:type="dxa"/>
            </w:tcMar>
          </w:tcPr>
          <w:p>
            <w:r>
              <w:rPr>
                <w:rFonts w:ascii="Arial" w:hAnsi="Arial"/>
                <w:sz w:val="19"/>
              </w:rPr>
              <w:t>Tìm được: computer, computing, computation, computational.</w:t>
            </w:r>
          </w:p>
        </w:tc>
      </w:tr>
    </w:tbl>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Kiểu Trích Dẫn</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Lĩnh Vực Ứng Dụng</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Cách Trích Dẫn Trong Bài Viết (In-text)</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Định Dạng Trong Danh Mục Cuối Bài</w:t>
            </w:r>
          </w:p>
        </w:tc>
      </w:tr>
      <w:tr>
        <w:tc>
          <w:tcPr>
            <w:tcW w:type="dxa" w:w="2412"/>
            <w:shd w:val="clear" w:color="auto" w:fill="F2F5F9"/>
            <w:tcMar>
              <w:top w:w="100" w:type="dxa"/>
              <w:bottom w:w="100" w:type="dxa"/>
              <w:left w:w="120" w:type="dxa"/>
              <w:right w:w="120" w:type="dxa"/>
            </w:tcMar>
          </w:tcPr>
          <w:p>
            <w:r>
              <w:rPr>
                <w:rFonts w:ascii="Arial" w:hAnsi="Arial"/>
                <w:sz w:val="19"/>
              </w:rPr>
              <w:t>IEEE Style</w:t>
            </w:r>
          </w:p>
        </w:tc>
        <w:tc>
          <w:tcPr>
            <w:tcW w:type="dxa" w:w="2412"/>
            <w:shd w:val="clear" w:color="auto" w:fill="F2F5F9"/>
            <w:tcMar>
              <w:top w:w="100" w:type="dxa"/>
              <w:bottom w:w="100" w:type="dxa"/>
              <w:left w:w="120" w:type="dxa"/>
              <w:right w:w="120" w:type="dxa"/>
            </w:tcMar>
          </w:tcPr>
          <w:p>
            <w:r>
              <w:rPr>
                <w:rFonts w:ascii="Arial" w:hAnsi="Arial"/>
                <w:sz w:val="19"/>
              </w:rPr>
              <w:t>Khoa học Máy tính, Kỹ thuật, Điện tử - Viễn thông</w:t>
            </w:r>
          </w:p>
        </w:tc>
        <w:tc>
          <w:tcPr>
            <w:tcW w:type="dxa" w:w="2412"/>
            <w:shd w:val="clear" w:color="auto" w:fill="F2F5F9"/>
            <w:tcMar>
              <w:top w:w="100" w:type="dxa"/>
              <w:bottom w:w="100" w:type="dxa"/>
              <w:left w:w="120" w:type="dxa"/>
              <w:right w:w="120" w:type="dxa"/>
            </w:tcMar>
          </w:tcPr>
          <w:p>
            <w:r>
              <w:rPr>
                <w:rFonts w:ascii="Arial" w:hAnsi="Arial"/>
                <w:sz w:val="19"/>
              </w:rPr>
              <w:t>Dùng số thứ tự trong ngoặc vuông: [1], [2, 3]</w:t>
            </w:r>
          </w:p>
        </w:tc>
        <w:tc>
          <w:tcPr>
            <w:tcW w:type="dxa" w:w="2412"/>
            <w:shd w:val="clear" w:color="auto" w:fill="F2F5F9"/>
            <w:tcMar>
              <w:top w:w="100" w:type="dxa"/>
              <w:bottom w:w="100" w:type="dxa"/>
              <w:left w:w="120" w:type="dxa"/>
              <w:right w:w="120" w:type="dxa"/>
            </w:tcMar>
          </w:tcPr>
          <w:p>
            <w:r>
              <w:rPr>
                <w:rFonts w:ascii="Arial" w:hAnsi="Arial"/>
                <w:sz w:val="19"/>
              </w:rPr>
              <w:t>[1] J. Smith, "Title of paper," IEEE Trans. Comput., vol. 60, no. 5, pp. 120-130, 2021.</w:t>
            </w:r>
          </w:p>
        </w:tc>
      </w:tr>
      <w:tr>
        <w:tc>
          <w:tcPr>
            <w:tcW w:type="dxa" w:w="2412"/>
            <w:tcMar>
              <w:top w:w="100" w:type="dxa"/>
              <w:bottom w:w="100" w:type="dxa"/>
              <w:left w:w="120" w:type="dxa"/>
              <w:right w:w="120" w:type="dxa"/>
            </w:tcMar>
          </w:tcPr>
          <w:p>
            <w:r>
              <w:rPr>
                <w:rFonts w:ascii="Arial" w:hAnsi="Arial"/>
                <w:sz w:val="19"/>
              </w:rPr>
              <w:t>APA 7th Style</w:t>
            </w:r>
          </w:p>
        </w:tc>
        <w:tc>
          <w:tcPr>
            <w:tcW w:type="dxa" w:w="2412"/>
            <w:tcMar>
              <w:top w:w="100" w:type="dxa"/>
              <w:bottom w:w="100" w:type="dxa"/>
              <w:left w:w="120" w:type="dxa"/>
              <w:right w:w="120" w:type="dxa"/>
            </w:tcMar>
          </w:tcPr>
          <w:p>
            <w:r>
              <w:rPr>
                <w:rFonts w:ascii="Arial" w:hAnsi="Arial"/>
                <w:sz w:val="19"/>
              </w:rPr>
              <w:t>Khoa học Xã hội, Tâm lý, Giáo dục, Môi trường</w:t>
            </w:r>
          </w:p>
        </w:tc>
        <w:tc>
          <w:tcPr>
            <w:tcW w:type="dxa" w:w="2412"/>
            <w:tcMar>
              <w:top w:w="100" w:type="dxa"/>
              <w:bottom w:w="100" w:type="dxa"/>
              <w:left w:w="120" w:type="dxa"/>
              <w:right w:w="120" w:type="dxa"/>
            </w:tcMar>
          </w:tcPr>
          <w:p>
            <w:r>
              <w:rPr>
                <w:rFonts w:ascii="Arial" w:hAnsi="Arial"/>
                <w:sz w:val="19"/>
              </w:rPr>
              <w:t>Dùng họ tác giả và năm: (Smith, 2021)</w:t>
            </w:r>
          </w:p>
        </w:tc>
        <w:tc>
          <w:tcPr>
            <w:tcW w:type="dxa" w:w="2412"/>
            <w:tcMar>
              <w:top w:w="100" w:type="dxa"/>
              <w:bottom w:w="100" w:type="dxa"/>
              <w:left w:w="120" w:type="dxa"/>
              <w:right w:w="120" w:type="dxa"/>
            </w:tcMar>
          </w:tcPr>
          <w:p>
            <w:r>
              <w:rPr>
                <w:rFonts w:ascii="Arial" w:hAnsi="Arial"/>
                <w:sz w:val="19"/>
              </w:rPr>
              <w:t>Smith, J. (2021). Title of paper. Journal Name, 60(5), 120-130.</w:t>
            </w:r>
          </w:p>
        </w:tc>
      </w:tr>
      <w:tr>
        <w:tc>
          <w:tcPr>
            <w:tcW w:type="dxa" w:w="2412"/>
            <w:shd w:val="clear" w:color="auto" w:fill="F2F5F9"/>
            <w:tcMar>
              <w:top w:w="100" w:type="dxa"/>
              <w:bottom w:w="100" w:type="dxa"/>
              <w:left w:w="120" w:type="dxa"/>
              <w:right w:w="120" w:type="dxa"/>
            </w:tcMar>
          </w:tcPr>
          <w:p>
            <w:r>
              <w:rPr>
                <w:rFonts w:ascii="Arial" w:hAnsi="Arial"/>
                <w:sz w:val="19"/>
              </w:rPr>
              <w:t>ACS Style</w:t>
            </w:r>
          </w:p>
        </w:tc>
        <w:tc>
          <w:tcPr>
            <w:tcW w:type="dxa" w:w="2412"/>
            <w:shd w:val="clear" w:color="auto" w:fill="F2F5F9"/>
            <w:tcMar>
              <w:top w:w="100" w:type="dxa"/>
              <w:bottom w:w="100" w:type="dxa"/>
              <w:left w:w="120" w:type="dxa"/>
              <w:right w:w="120" w:type="dxa"/>
            </w:tcMar>
          </w:tcPr>
          <w:p>
            <w:r>
              <w:rPr>
                <w:rFonts w:ascii="Arial" w:hAnsi="Arial"/>
                <w:sz w:val="19"/>
              </w:rPr>
              <w:t>Hóa học, Hóa dược, Công nghệ Sinh học</w:t>
            </w:r>
          </w:p>
        </w:tc>
        <w:tc>
          <w:tcPr>
            <w:tcW w:type="dxa" w:w="2412"/>
            <w:shd w:val="clear" w:color="auto" w:fill="F2F5F9"/>
            <w:tcMar>
              <w:top w:w="100" w:type="dxa"/>
              <w:bottom w:w="100" w:type="dxa"/>
              <w:left w:w="120" w:type="dxa"/>
              <w:right w:w="120" w:type="dxa"/>
            </w:tcMar>
          </w:tcPr>
          <w:p>
            <w:r>
              <w:rPr>
                <w:rFonts w:ascii="Arial" w:hAnsi="Arial"/>
                <w:sz w:val="19"/>
              </w:rPr>
              <w:t>Dùng số chỉ số trên đầu (Superscript)¹ hoặc (1)</w:t>
            </w:r>
          </w:p>
        </w:tc>
        <w:tc>
          <w:tcPr>
            <w:tcW w:type="dxa" w:w="2412"/>
            <w:shd w:val="clear" w:color="auto" w:fill="F2F5F9"/>
            <w:tcMar>
              <w:top w:w="100" w:type="dxa"/>
              <w:bottom w:w="100" w:type="dxa"/>
              <w:left w:w="120" w:type="dxa"/>
              <w:right w:w="120" w:type="dxa"/>
            </w:tcMar>
          </w:tcPr>
          <w:p>
            <w:r>
              <w:rPr>
                <w:rFonts w:ascii="Arial" w:hAnsi="Arial"/>
                <w:sz w:val="19"/>
              </w:rPr>
              <w:t>1. Smith, J. Title of Paper. J. Am. Chem. Soc. 2021, 143, 120-130.</w:t>
            </w:r>
          </w:p>
        </w:tc>
      </w:tr>
    </w:tbl>
    <w:p/>
    <w:tbl>
      <w:tblPr>
        <w:tblW w:type="auto" w:w="0"/>
        <w:jc w:val="center"/>
        <w:tblLook w:firstColumn="1" w:firstRow="1" w:lastColumn="0" w:lastRow="0" w:noHBand="0" w:noVBand="1" w:val="04A0"/>
      </w:tblPr>
      <w:tblGrid>
        <w:gridCol w:w="3216"/>
        <w:gridCol w:w="3216"/>
        <w:gridCol w:w="3216"/>
      </w:tblGrid>
      <w:tr>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Khoa / Đơn vị</w:t>
            </w:r>
          </w:p>
        </w:tc>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Phân loại DDC</w:t>
            </w:r>
          </w:p>
        </w:tc>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Tài liệu &amp; Giáo trình Cốt lõi Tiêu biểu</w:t>
            </w:r>
          </w:p>
        </w:tc>
      </w:tr>
      <w:tr>
        <w:tc>
          <w:tcPr>
            <w:tcW w:type="dxa" w:w="3216"/>
            <w:shd w:val="clear" w:color="auto" w:fill="F2F5F9"/>
            <w:tcMar>
              <w:top w:w="100" w:type="dxa"/>
              <w:bottom w:w="100" w:type="dxa"/>
              <w:left w:w="120" w:type="dxa"/>
              <w:right w:w="120" w:type="dxa"/>
            </w:tcMar>
          </w:tcPr>
          <w:p>
            <w:r>
              <w:rPr>
                <w:rFonts w:ascii="Arial" w:hAnsi="Arial"/>
                <w:sz w:val="19"/>
              </w:rPr>
              <w:t>Khoa Công nghệ Thông tin</w:t>
            </w:r>
          </w:p>
        </w:tc>
        <w:tc>
          <w:tcPr>
            <w:tcW w:type="dxa" w:w="3216"/>
            <w:shd w:val="clear" w:color="auto" w:fill="F2F5F9"/>
            <w:tcMar>
              <w:top w:w="100" w:type="dxa"/>
              <w:bottom w:w="100" w:type="dxa"/>
              <w:left w:w="120" w:type="dxa"/>
              <w:right w:w="120" w:type="dxa"/>
            </w:tcMar>
          </w:tcPr>
          <w:p>
            <w:r>
              <w:rPr>
                <w:rFonts w:ascii="Arial" w:hAnsi="Arial"/>
                <w:sz w:val="19"/>
              </w:rPr>
              <w:t>004 - 006</w:t>
            </w:r>
          </w:p>
        </w:tc>
        <w:tc>
          <w:tcPr>
            <w:tcW w:type="dxa" w:w="3216"/>
            <w:shd w:val="clear" w:color="auto" w:fill="F2F5F9"/>
            <w:tcMar>
              <w:top w:w="100" w:type="dxa"/>
              <w:bottom w:w="100" w:type="dxa"/>
              <w:left w:w="120" w:type="dxa"/>
              <w:right w:w="120" w:type="dxa"/>
            </w:tcMar>
          </w:tcPr>
          <w:p>
            <w:r>
              <w:rPr>
                <w:rFonts w:ascii="Arial" w:hAnsi="Arial"/>
                <w:sz w:val="19"/>
              </w:rPr>
              <w:t>Kỹ thuật lập trình (C/C++), Cấu trúc dữ liệu &amp; Giải thuật, Mạng máy tính, Hệ điều hành, Cơ sở dữ liệu, Nhập môn AI, Học máy, Computer Systems: A Programmer's Perspective (R. Bryant), Introduction to Algorithms (CLRS), Artificial Intelligence: A Modern Approach (Russell &amp; Norvig), Database System Concepts (Silberschatz).</w:t>
            </w:r>
          </w:p>
        </w:tc>
      </w:tr>
      <w:tr>
        <w:tc>
          <w:tcPr>
            <w:tcW w:type="dxa" w:w="3216"/>
            <w:tcMar>
              <w:top w:w="100" w:type="dxa"/>
              <w:bottom w:w="100" w:type="dxa"/>
              <w:left w:w="120" w:type="dxa"/>
              <w:right w:w="120" w:type="dxa"/>
            </w:tcMar>
          </w:tcPr>
          <w:p>
            <w:r>
              <w:rPr>
                <w:rFonts w:ascii="Arial" w:hAnsi="Arial"/>
                <w:sz w:val="19"/>
              </w:rPr>
              <w:t>Khoa Toán - Tin học</w:t>
            </w:r>
          </w:p>
        </w:tc>
        <w:tc>
          <w:tcPr>
            <w:tcW w:type="dxa" w:w="3216"/>
            <w:tcMar>
              <w:top w:w="100" w:type="dxa"/>
              <w:bottom w:w="100" w:type="dxa"/>
              <w:left w:w="120" w:type="dxa"/>
              <w:right w:w="120" w:type="dxa"/>
            </w:tcMar>
          </w:tcPr>
          <w:p>
            <w:r>
              <w:rPr>
                <w:rFonts w:ascii="Arial" w:hAnsi="Arial"/>
                <w:sz w:val="19"/>
              </w:rPr>
              <w:t>510 - 519</w:t>
            </w:r>
          </w:p>
        </w:tc>
        <w:tc>
          <w:tcPr>
            <w:tcW w:type="dxa" w:w="3216"/>
            <w:tcMar>
              <w:top w:w="100" w:type="dxa"/>
              <w:bottom w:w="100" w:type="dxa"/>
              <w:left w:w="120" w:type="dxa"/>
              <w:right w:w="120" w:type="dxa"/>
            </w:tcMar>
          </w:tcPr>
          <w:p>
            <w:r>
              <w:rPr>
                <w:rFonts w:ascii="Arial" w:hAnsi="Arial"/>
                <w:sz w:val="19"/>
              </w:rPr>
              <w:t>Giải tích 1, 2, 3 (Nguyễn Đình Trí / James Stewart Calculus), Đại số tuyến tính, Đại số đại cương, Phương trình vi phân, Xác suất thống kê (Nguyễn Cao Hào), Tối ưu hóa, Giải tích hàm, Topology, Cơ sở toán học cho Tin học.</w:t>
            </w:r>
          </w:p>
        </w:tc>
      </w:tr>
      <w:tr>
        <w:tc>
          <w:tcPr>
            <w:tcW w:type="dxa" w:w="3216"/>
            <w:shd w:val="clear" w:color="auto" w:fill="F2F5F9"/>
            <w:tcMar>
              <w:top w:w="100" w:type="dxa"/>
              <w:bottom w:w="100" w:type="dxa"/>
              <w:left w:w="120" w:type="dxa"/>
              <w:right w:w="120" w:type="dxa"/>
            </w:tcMar>
          </w:tcPr>
          <w:p>
            <w:r>
              <w:rPr>
                <w:rFonts w:ascii="Arial" w:hAnsi="Arial"/>
                <w:sz w:val="19"/>
              </w:rPr>
              <w:t>Khoa Vật lý - Vật lý Kỹ thuật</w:t>
            </w:r>
          </w:p>
        </w:tc>
        <w:tc>
          <w:tcPr>
            <w:tcW w:type="dxa" w:w="3216"/>
            <w:shd w:val="clear" w:color="auto" w:fill="F2F5F9"/>
            <w:tcMar>
              <w:top w:w="100" w:type="dxa"/>
              <w:bottom w:w="100" w:type="dxa"/>
              <w:left w:w="120" w:type="dxa"/>
              <w:right w:w="120" w:type="dxa"/>
            </w:tcMar>
          </w:tcPr>
          <w:p>
            <w:r>
              <w:rPr>
                <w:rFonts w:ascii="Arial" w:hAnsi="Arial"/>
                <w:sz w:val="19"/>
              </w:rPr>
              <w:t>530 - 539</w:t>
            </w:r>
          </w:p>
        </w:tc>
        <w:tc>
          <w:tcPr>
            <w:tcW w:type="dxa" w:w="3216"/>
            <w:shd w:val="clear" w:color="auto" w:fill="F2F5F9"/>
            <w:tcMar>
              <w:top w:w="100" w:type="dxa"/>
              <w:bottom w:w="100" w:type="dxa"/>
              <w:left w:w="120" w:type="dxa"/>
              <w:right w:w="120" w:type="dxa"/>
            </w:tcMar>
          </w:tcPr>
          <w:p>
            <w:r>
              <w:rPr>
                <w:rFonts w:ascii="Arial" w:hAnsi="Arial"/>
                <w:sz w:val="19"/>
              </w:rPr>
              <w:t>Vật lý đại cương 1 (Cơ - Nhiệt), Vật lý đại cương 2 (Điện - Từ), Vật lý đại cương 3 (Quang - Vật lý lượng tử) (David Halliday - Resnick), Cơ học lý thuyết, Điện động lực học, Vật lý hạt nhân, Vật lý chất rắn, Bán dẫn và Vi điện tử.</w:t>
            </w:r>
          </w:p>
        </w:tc>
      </w:tr>
      <w:tr>
        <w:tc>
          <w:tcPr>
            <w:tcW w:type="dxa" w:w="3216"/>
            <w:tcMar>
              <w:top w:w="100" w:type="dxa"/>
              <w:bottom w:w="100" w:type="dxa"/>
              <w:left w:w="120" w:type="dxa"/>
              <w:right w:w="120" w:type="dxa"/>
            </w:tcMar>
          </w:tcPr>
          <w:p>
            <w:r>
              <w:rPr>
                <w:rFonts w:ascii="Arial" w:hAnsi="Arial"/>
                <w:sz w:val="19"/>
              </w:rPr>
              <w:t>Khoa Hóa học</w:t>
            </w:r>
          </w:p>
        </w:tc>
        <w:tc>
          <w:tcPr>
            <w:tcW w:type="dxa" w:w="3216"/>
            <w:tcMar>
              <w:top w:w="100" w:type="dxa"/>
              <w:bottom w:w="100" w:type="dxa"/>
              <w:left w:w="120" w:type="dxa"/>
              <w:right w:w="120" w:type="dxa"/>
            </w:tcMar>
          </w:tcPr>
          <w:p>
            <w:r>
              <w:rPr>
                <w:rFonts w:ascii="Arial" w:hAnsi="Arial"/>
                <w:sz w:val="19"/>
              </w:rPr>
              <w:t>540 - 549</w:t>
            </w:r>
          </w:p>
        </w:tc>
        <w:tc>
          <w:tcPr>
            <w:tcW w:type="dxa" w:w="3216"/>
            <w:tcMar>
              <w:top w:w="100" w:type="dxa"/>
              <w:bottom w:w="100" w:type="dxa"/>
              <w:left w:w="120" w:type="dxa"/>
              <w:right w:w="120" w:type="dxa"/>
            </w:tcMar>
          </w:tcPr>
          <w:p>
            <w:r>
              <w:rPr>
                <w:rFonts w:ascii="Arial" w:hAnsi="Arial"/>
                <w:sz w:val="19"/>
              </w:rPr>
              <w:t>Hóa đại cương, Hóa vô cơ 1 &amp; 2 (Hoàng Nhâm), Hóa hữu cơ 1, 2 &amp; 3 (Ngô Thị Thu Hương), Hóa phân tích &amp; Thực tập phân tích định lượng, Hóa lý 1 &amp; 2, Hóa dược phẩm, Hóa polyme và vật liệu mới, Chemistry (Raymond Chang).</w:t>
            </w:r>
          </w:p>
        </w:tc>
      </w:tr>
      <w:tr>
        <w:tc>
          <w:tcPr>
            <w:tcW w:type="dxa" w:w="3216"/>
            <w:shd w:val="clear" w:color="auto" w:fill="F2F5F9"/>
            <w:tcMar>
              <w:top w:w="100" w:type="dxa"/>
              <w:bottom w:w="100" w:type="dxa"/>
              <w:left w:w="120" w:type="dxa"/>
              <w:right w:w="120" w:type="dxa"/>
            </w:tcMar>
          </w:tcPr>
          <w:p>
            <w:r>
              <w:rPr>
                <w:rFonts w:ascii="Arial" w:hAnsi="Arial"/>
                <w:sz w:val="19"/>
              </w:rPr>
              <w:t>Khoa Sinh học - CNSH</w:t>
            </w:r>
          </w:p>
        </w:tc>
        <w:tc>
          <w:tcPr>
            <w:tcW w:type="dxa" w:w="3216"/>
            <w:shd w:val="clear" w:color="auto" w:fill="F2F5F9"/>
            <w:tcMar>
              <w:top w:w="100" w:type="dxa"/>
              <w:bottom w:w="100" w:type="dxa"/>
              <w:left w:w="120" w:type="dxa"/>
              <w:right w:w="120" w:type="dxa"/>
            </w:tcMar>
          </w:tcPr>
          <w:p>
            <w:r>
              <w:rPr>
                <w:rFonts w:ascii="Arial" w:hAnsi="Arial"/>
                <w:sz w:val="19"/>
              </w:rPr>
              <w:t>570 - 579</w:t>
            </w:r>
          </w:p>
        </w:tc>
        <w:tc>
          <w:tcPr>
            <w:tcW w:type="dxa" w:w="3216"/>
            <w:shd w:val="clear" w:color="auto" w:fill="F2F5F9"/>
            <w:tcMar>
              <w:top w:w="100" w:type="dxa"/>
              <w:bottom w:w="100" w:type="dxa"/>
              <w:left w:w="120" w:type="dxa"/>
              <w:right w:w="120" w:type="dxa"/>
            </w:tcMar>
          </w:tcPr>
          <w:p>
            <w:r>
              <w:rPr>
                <w:rFonts w:ascii="Arial" w:hAnsi="Arial"/>
                <w:sz w:val="19"/>
              </w:rPr>
              <w:t>Sinh học tế bào, Sinh lý thực vật, Sinh lý động vật, Di truyền học đại cương &amp; phân tử (Campbell Biology), Vi sinh vật học đại cương, Hóa sinh học, Công nghệ DNA tái tổ hợp, Kỹ thuật nuôi cấy mô tế bào, Miễn dịch học.</w:t>
            </w:r>
          </w:p>
        </w:tc>
      </w:tr>
      <w:tr>
        <w:tc>
          <w:tcPr>
            <w:tcW w:type="dxa" w:w="3216"/>
            <w:tcMar>
              <w:top w:w="100" w:type="dxa"/>
              <w:bottom w:w="100" w:type="dxa"/>
              <w:left w:w="120" w:type="dxa"/>
              <w:right w:w="120" w:type="dxa"/>
            </w:tcMar>
          </w:tcPr>
          <w:p>
            <w:r>
              <w:rPr>
                <w:rFonts w:ascii="Arial" w:hAnsi="Arial"/>
                <w:sz w:val="19"/>
              </w:rPr>
              <w:t>Khoa Môi trường</w:t>
            </w:r>
          </w:p>
        </w:tc>
        <w:tc>
          <w:tcPr>
            <w:tcW w:type="dxa" w:w="3216"/>
            <w:tcMar>
              <w:top w:w="100" w:type="dxa"/>
              <w:bottom w:w="100" w:type="dxa"/>
              <w:left w:w="120" w:type="dxa"/>
              <w:right w:w="120" w:type="dxa"/>
            </w:tcMar>
          </w:tcPr>
          <w:p>
            <w:r>
              <w:rPr>
                <w:rFonts w:ascii="Arial" w:hAnsi="Arial"/>
                <w:sz w:val="19"/>
              </w:rPr>
              <w:t>577, 628</w:t>
            </w:r>
          </w:p>
        </w:tc>
        <w:tc>
          <w:tcPr>
            <w:tcW w:type="dxa" w:w="3216"/>
            <w:tcMar>
              <w:top w:w="100" w:type="dxa"/>
              <w:bottom w:w="100" w:type="dxa"/>
              <w:left w:w="120" w:type="dxa"/>
              <w:right w:w="120" w:type="dxa"/>
            </w:tcMar>
          </w:tcPr>
          <w:p>
            <w:r>
              <w:rPr>
                <w:rFonts w:ascii="Arial" w:hAnsi="Arial"/>
                <w:sz w:val="19"/>
              </w:rPr>
              <w:t>Khoa học môi trường đại cương, Độc học môi trường, Kỹ thuật xử lý nước cấp và nước thải, Quản lý chất thải rắn và chất thải nguy hại, Ô nhiễm không khí và tiếng ồn, Đánh giá tác động môi trường (ĐTM/EIA), GIS ứng dụng trong môi trường.</w:t>
            </w:r>
          </w:p>
        </w:tc>
      </w:tr>
      <w:tr>
        <w:tc>
          <w:tcPr>
            <w:tcW w:type="dxa" w:w="3216"/>
            <w:shd w:val="clear" w:color="auto" w:fill="F2F5F9"/>
            <w:tcMar>
              <w:top w:w="100" w:type="dxa"/>
              <w:bottom w:w="100" w:type="dxa"/>
              <w:left w:w="120" w:type="dxa"/>
              <w:right w:w="120" w:type="dxa"/>
            </w:tcMar>
          </w:tcPr>
          <w:p>
            <w:r>
              <w:rPr>
                <w:rFonts w:ascii="Arial" w:hAnsi="Arial"/>
                <w:sz w:val="19"/>
              </w:rPr>
              <w:t>Khoa Địa chất</w:t>
            </w:r>
          </w:p>
        </w:tc>
        <w:tc>
          <w:tcPr>
            <w:tcW w:type="dxa" w:w="3216"/>
            <w:shd w:val="clear" w:color="auto" w:fill="F2F5F9"/>
            <w:tcMar>
              <w:top w:w="100" w:type="dxa"/>
              <w:bottom w:w="100" w:type="dxa"/>
              <w:left w:w="120" w:type="dxa"/>
              <w:right w:w="120" w:type="dxa"/>
            </w:tcMar>
          </w:tcPr>
          <w:p>
            <w:r>
              <w:rPr>
                <w:rFonts w:ascii="Arial" w:hAnsi="Arial"/>
                <w:sz w:val="19"/>
              </w:rPr>
              <w:t>550 - 559</w:t>
            </w:r>
          </w:p>
        </w:tc>
        <w:tc>
          <w:tcPr>
            <w:tcW w:type="dxa" w:w="3216"/>
            <w:shd w:val="clear" w:color="auto" w:fill="F2F5F9"/>
            <w:tcMar>
              <w:top w:w="100" w:type="dxa"/>
              <w:bottom w:w="100" w:type="dxa"/>
              <w:left w:w="120" w:type="dxa"/>
              <w:right w:w="120" w:type="dxa"/>
            </w:tcMar>
          </w:tcPr>
          <w:p>
            <w:r>
              <w:rPr>
                <w:rFonts w:ascii="Arial" w:hAnsi="Arial"/>
                <w:sz w:val="19"/>
              </w:rPr>
              <w:t>Địa chất đại cương, Tinh thể khoáng vật học, Thạch học magma - trầm tích - biến chất, Địa chất cấu tạo và kiến tạo mảng, Địa chất thủy văn và Địa chất công trình, Địa vật lý thăm dò, Viễn thám địa chất.</w:t>
            </w:r>
          </w:p>
        </w:tc>
      </w:tr>
      <w:tr>
        <w:tc>
          <w:tcPr>
            <w:tcW w:type="dxa" w:w="3216"/>
            <w:tcMar>
              <w:top w:w="100" w:type="dxa"/>
              <w:bottom w:w="100" w:type="dxa"/>
              <w:left w:w="120" w:type="dxa"/>
              <w:right w:w="120" w:type="dxa"/>
            </w:tcMar>
          </w:tcPr>
          <w:p>
            <w:r>
              <w:rPr>
                <w:rFonts w:ascii="Arial" w:hAnsi="Arial"/>
                <w:sz w:val="19"/>
              </w:rPr>
              <w:t>Khoa Khoa học &amp; Công nghệ Vật liệu</w:t>
            </w:r>
          </w:p>
        </w:tc>
        <w:tc>
          <w:tcPr>
            <w:tcW w:type="dxa" w:w="3216"/>
            <w:tcMar>
              <w:top w:w="100" w:type="dxa"/>
              <w:bottom w:w="100" w:type="dxa"/>
              <w:left w:w="120" w:type="dxa"/>
              <w:right w:w="120" w:type="dxa"/>
            </w:tcMar>
          </w:tcPr>
          <w:p>
            <w:r>
              <w:rPr>
                <w:rFonts w:ascii="Arial" w:hAnsi="Arial"/>
                <w:sz w:val="19"/>
              </w:rPr>
              <w:t>620.1</w:t>
            </w:r>
          </w:p>
        </w:tc>
        <w:tc>
          <w:tcPr>
            <w:tcW w:type="dxa" w:w="3216"/>
            <w:tcMar>
              <w:top w:w="100" w:type="dxa"/>
              <w:bottom w:w="100" w:type="dxa"/>
              <w:left w:w="120" w:type="dxa"/>
              <w:right w:w="120" w:type="dxa"/>
            </w:tcMar>
          </w:tcPr>
          <w:p>
            <w:r>
              <w:rPr>
                <w:rFonts w:ascii="Arial" w:hAnsi="Arial"/>
                <w:sz w:val="19"/>
              </w:rPr>
              <w:t>Khoa học vật liệu đại cương (Callister's Materials Science and Engineering), Vật liệu bán dẫn, Vật liệu nano và công nghệ nano, Phương pháp phân tích đặc trưng vật liệu (XRD, SEM, TEM, AFM, FTIR, UV-Vis), Vật liệu polyme và composite.</w:t>
            </w:r>
          </w:p>
        </w:tc>
      </w:tr>
      <w:tr>
        <w:tc>
          <w:tcPr>
            <w:tcW w:type="dxa" w:w="3216"/>
            <w:shd w:val="clear" w:color="auto" w:fill="F2F5F9"/>
            <w:tcMar>
              <w:top w:w="100" w:type="dxa"/>
              <w:bottom w:w="100" w:type="dxa"/>
              <w:left w:w="120" w:type="dxa"/>
              <w:right w:w="120" w:type="dxa"/>
            </w:tcMar>
          </w:tcPr>
          <w:p>
            <w:r>
              <w:rPr>
                <w:rFonts w:ascii="Arial" w:hAnsi="Arial"/>
                <w:sz w:val="19"/>
              </w:rPr>
              <w:t>Khoa Điện tử - Viễn thông</w:t>
            </w:r>
          </w:p>
        </w:tc>
        <w:tc>
          <w:tcPr>
            <w:tcW w:type="dxa" w:w="3216"/>
            <w:shd w:val="clear" w:color="auto" w:fill="F2F5F9"/>
            <w:tcMar>
              <w:top w:w="100" w:type="dxa"/>
              <w:bottom w:w="100" w:type="dxa"/>
              <w:left w:w="120" w:type="dxa"/>
              <w:right w:w="120" w:type="dxa"/>
            </w:tcMar>
          </w:tcPr>
          <w:p>
            <w:r>
              <w:rPr>
                <w:rFonts w:ascii="Arial" w:hAnsi="Arial"/>
                <w:sz w:val="19"/>
              </w:rPr>
              <w:t>621.38</w:t>
            </w:r>
          </w:p>
        </w:tc>
        <w:tc>
          <w:tcPr>
            <w:tcW w:type="dxa" w:w="3216"/>
            <w:shd w:val="clear" w:color="auto" w:fill="F2F5F9"/>
            <w:tcMar>
              <w:top w:w="100" w:type="dxa"/>
              <w:bottom w:w="100" w:type="dxa"/>
              <w:left w:w="120" w:type="dxa"/>
              <w:right w:w="120" w:type="dxa"/>
            </w:tcMar>
          </w:tcPr>
          <w:p>
            <w:r>
              <w:rPr>
                <w:rFonts w:ascii="Arial" w:hAnsi="Arial"/>
                <w:sz w:val="19"/>
              </w:rPr>
              <w:t>Kỹ thuật mạch điện tử 1 &amp; 2, Thiết kế mạch số và ngôn ngữ HDL/Verilog, Vi xử lý và Vi điều khiển (ARM/AVR/PIC), Xử lý tín hiệu số (DSP - Oppenheim), Hệ thống nhúng (Embedded Systems), Thông tin vô tuyến và Ăng-ten.</w:t>
            </w:r>
          </w:p>
        </w:tc>
      </w:tr>
      <w:tr>
        <w:tc>
          <w:tcPr>
            <w:tcW w:type="dxa" w:w="3216"/>
            <w:tcMar>
              <w:top w:w="100" w:type="dxa"/>
              <w:bottom w:w="100" w:type="dxa"/>
              <w:left w:w="120" w:type="dxa"/>
              <w:right w:w="120" w:type="dxa"/>
            </w:tcMar>
          </w:tcPr>
          <w:p>
            <w:r>
              <w:rPr>
                <w:rFonts w:ascii="Arial" w:hAnsi="Arial"/>
                <w:sz w:val="19"/>
              </w:rPr>
              <w:t>Bộ môn Khoa học Dữ liệu &amp; TTNT</w:t>
            </w:r>
          </w:p>
        </w:tc>
        <w:tc>
          <w:tcPr>
            <w:tcW w:type="dxa" w:w="3216"/>
            <w:tcMar>
              <w:top w:w="100" w:type="dxa"/>
              <w:bottom w:w="100" w:type="dxa"/>
              <w:left w:w="120" w:type="dxa"/>
              <w:right w:w="120" w:type="dxa"/>
            </w:tcMar>
          </w:tcPr>
          <w:p>
            <w:r>
              <w:rPr>
                <w:rFonts w:ascii="Arial" w:hAnsi="Arial"/>
                <w:sz w:val="19"/>
              </w:rPr>
              <w:t>006.3</w:t>
            </w:r>
          </w:p>
        </w:tc>
        <w:tc>
          <w:tcPr>
            <w:tcW w:type="dxa" w:w="3216"/>
            <w:tcMar>
              <w:top w:w="100" w:type="dxa"/>
              <w:bottom w:w="100" w:type="dxa"/>
              <w:left w:w="120" w:type="dxa"/>
              <w:right w:w="120" w:type="dxa"/>
            </w:tcMar>
          </w:tcPr>
          <w:p>
            <w:r>
              <w:rPr>
                <w:rFonts w:ascii="Arial" w:hAnsi="Arial"/>
                <w:sz w:val="19"/>
              </w:rPr>
              <w:t>Deep Learning (Ian Goodfellow), Pattern Recognition and Machine Learning (Bishop), Tối ưu hóa cho Khoa học dữ liệu, Phân tích dữ liệu lớn (Big Data with Spark/Hadoop), Khai phá dữ liệu (Data Mining - Tan, Steinbach).</w:t>
            </w:r>
          </w:p>
        </w:tc>
      </w:tr>
    </w:tbl>
    <w:p/>
    <w:tbl>
      <w:tblPr>
        <w:tblW w:type="auto" w:w="0"/>
        <w:jc w:val="center"/>
        <w:tblLook w:firstColumn="1" w:firstRow="1" w:lastColumn="0" w:lastRow="0" w:noHBand="0" w:noVBand="1" w:val="04A0"/>
      </w:tblPr>
      <w:tblGrid>
        <w:gridCol w:w="3216"/>
        <w:gridCol w:w="3216"/>
        <w:gridCol w:w="3216"/>
      </w:tblGrid>
      <w:tr>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Hành vi Vi phạm</w:t>
            </w:r>
          </w:p>
        </w:tc>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Mức Phạt Tài chính / Bồi thường</w:t>
            </w:r>
          </w:p>
        </w:tc>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Chế tài Xử lý &amp; Ghi chú Bổ sung</w:t>
            </w:r>
          </w:p>
        </w:tc>
      </w:tr>
      <w:tr>
        <w:tc>
          <w:tcPr>
            <w:tcW w:type="dxa" w:w="3216"/>
            <w:shd w:val="clear" w:color="auto" w:fill="F2F5F9"/>
            <w:tcMar>
              <w:top w:w="100" w:type="dxa"/>
              <w:bottom w:w="100" w:type="dxa"/>
              <w:left w:w="120" w:type="dxa"/>
              <w:right w:w="120" w:type="dxa"/>
            </w:tcMar>
          </w:tcPr>
          <w:p>
            <w:r>
              <w:rPr>
                <w:rFonts w:ascii="Arial" w:hAnsi="Arial"/>
                <w:sz w:val="19"/>
              </w:rPr>
              <w:t>Trả sách quá hạn (Overdue)</w:t>
            </w:r>
          </w:p>
        </w:tc>
        <w:tc>
          <w:tcPr>
            <w:tcW w:type="dxa" w:w="3216"/>
            <w:shd w:val="clear" w:color="auto" w:fill="F2F5F9"/>
            <w:tcMar>
              <w:top w:w="100" w:type="dxa"/>
              <w:bottom w:w="100" w:type="dxa"/>
              <w:left w:w="120" w:type="dxa"/>
              <w:right w:w="120" w:type="dxa"/>
            </w:tcMar>
          </w:tcPr>
          <w:p>
            <w:r>
              <w:rPr>
                <w:rFonts w:ascii="Arial" w:hAnsi="Arial"/>
                <w:sz w:val="19"/>
              </w:rPr>
              <w:t>1.000 VNĐ / ngày / cuốn (sách tiếng Việt)</w:t>
              <w:br/>
              <w:t>2.000 VNĐ / ngày / cuốn (sách ngoại văn)</w:t>
            </w:r>
          </w:p>
        </w:tc>
        <w:tc>
          <w:tcPr>
            <w:tcW w:type="dxa" w:w="3216"/>
            <w:shd w:val="clear" w:color="auto" w:fill="F2F5F9"/>
            <w:tcMar>
              <w:top w:w="100" w:type="dxa"/>
              <w:bottom w:w="100" w:type="dxa"/>
              <w:left w:w="120" w:type="dxa"/>
              <w:right w:w="120" w:type="dxa"/>
            </w:tcMar>
          </w:tcPr>
          <w:p>
            <w:r>
              <w:rPr>
                <w:rFonts w:ascii="Arial" w:hAnsi="Arial"/>
                <w:sz w:val="19"/>
              </w:rPr>
              <w:t>Trừ trực tiếp vào tài khoản thư viện hoặc thanh toán tại quầy Thủ thư khi trả sách. Quá hạn &gt; 30 ngày bị khóa tài khoản.</w:t>
            </w:r>
          </w:p>
        </w:tc>
      </w:tr>
      <w:tr>
        <w:tc>
          <w:tcPr>
            <w:tcW w:type="dxa" w:w="3216"/>
            <w:tcMar>
              <w:top w:w="100" w:type="dxa"/>
              <w:bottom w:w="100" w:type="dxa"/>
              <w:left w:w="120" w:type="dxa"/>
              <w:right w:w="120" w:type="dxa"/>
            </w:tcMar>
          </w:tcPr>
          <w:p>
            <w:r>
              <w:rPr>
                <w:rFonts w:ascii="Arial" w:hAnsi="Arial"/>
                <w:sz w:val="19"/>
              </w:rPr>
              <w:t>Làm mất tài liệu (Lost book)</w:t>
            </w:r>
          </w:p>
        </w:tc>
        <w:tc>
          <w:tcPr>
            <w:tcW w:type="dxa" w:w="3216"/>
            <w:tcMar>
              <w:top w:w="100" w:type="dxa"/>
              <w:bottom w:w="100" w:type="dxa"/>
              <w:left w:w="120" w:type="dxa"/>
              <w:right w:w="120" w:type="dxa"/>
            </w:tcMar>
          </w:tcPr>
          <w:p>
            <w:r>
              <w:rPr>
                <w:rFonts w:ascii="Arial" w:hAnsi="Arial"/>
                <w:sz w:val="19"/>
              </w:rPr>
              <w:t>Đền 01 cuốn sách mới cùng loại (đúng ấn bản hoặc mới hơn) + Phí xử lý nghiệp vụ 20.000 VNĐ</w:t>
            </w:r>
          </w:p>
        </w:tc>
        <w:tc>
          <w:tcPr>
            <w:tcW w:type="dxa" w:w="3216"/>
            <w:tcMar>
              <w:top w:w="100" w:type="dxa"/>
              <w:bottom w:w="100" w:type="dxa"/>
              <w:left w:w="120" w:type="dxa"/>
              <w:right w:w="120" w:type="dxa"/>
            </w:tcMar>
          </w:tcPr>
          <w:p>
            <w:r>
              <w:rPr>
                <w:rFonts w:ascii="Arial" w:hAnsi="Arial"/>
                <w:sz w:val="19"/>
              </w:rPr>
              <w:t>Nếu sách đã ngưng xuất bản: Bồi thường gấp 03 lần giá trị gốc theo hóa đơn (đối với sách xuất bản trong nước) hoặc gấp 05 lần (sách ngoại văn).</w:t>
            </w:r>
          </w:p>
        </w:tc>
      </w:tr>
      <w:tr>
        <w:tc>
          <w:tcPr>
            <w:tcW w:type="dxa" w:w="3216"/>
            <w:shd w:val="clear" w:color="auto" w:fill="F2F5F9"/>
            <w:tcMar>
              <w:top w:w="100" w:type="dxa"/>
              <w:bottom w:w="100" w:type="dxa"/>
              <w:left w:w="120" w:type="dxa"/>
              <w:right w:w="120" w:type="dxa"/>
            </w:tcMar>
          </w:tcPr>
          <w:p>
            <w:r>
              <w:rPr>
                <w:rFonts w:ascii="Arial" w:hAnsi="Arial"/>
                <w:sz w:val="19"/>
              </w:rPr>
              <w:t>Làm rách, bẩn, vẽ bậy vào sách</w:t>
            </w:r>
          </w:p>
        </w:tc>
        <w:tc>
          <w:tcPr>
            <w:tcW w:type="dxa" w:w="3216"/>
            <w:shd w:val="clear" w:color="auto" w:fill="F2F5F9"/>
            <w:tcMar>
              <w:top w:w="100" w:type="dxa"/>
              <w:bottom w:w="100" w:type="dxa"/>
              <w:left w:w="120" w:type="dxa"/>
              <w:right w:w="120" w:type="dxa"/>
            </w:tcMar>
          </w:tcPr>
          <w:p>
            <w:r>
              <w:rPr>
                <w:rFonts w:ascii="Arial" w:hAnsi="Arial"/>
                <w:sz w:val="19"/>
              </w:rPr>
              <w:t>50.000 VNĐ - 100.000 VNĐ tùy mức độ hư hại</w:t>
            </w:r>
          </w:p>
        </w:tc>
        <w:tc>
          <w:tcPr>
            <w:tcW w:type="dxa" w:w="3216"/>
            <w:shd w:val="clear" w:color="auto" w:fill="F2F5F9"/>
            <w:tcMar>
              <w:top w:w="100" w:type="dxa"/>
              <w:bottom w:w="100" w:type="dxa"/>
              <w:left w:w="120" w:type="dxa"/>
              <w:right w:w="120" w:type="dxa"/>
            </w:tcMar>
          </w:tcPr>
          <w:p>
            <w:r>
              <w:rPr>
                <w:rFonts w:ascii="Arial" w:hAnsi="Arial"/>
                <w:sz w:val="19"/>
              </w:rPr>
              <w:t>Nếu làm rách trang bìa, mất trang nội dung: Bắt buộc bồi thường nguyên cuốn sách mới.</w:t>
            </w:r>
          </w:p>
        </w:tc>
      </w:tr>
      <w:tr>
        <w:tc>
          <w:tcPr>
            <w:tcW w:type="dxa" w:w="3216"/>
            <w:tcMar>
              <w:top w:w="100" w:type="dxa"/>
              <w:bottom w:w="100" w:type="dxa"/>
              <w:left w:w="120" w:type="dxa"/>
              <w:right w:w="120" w:type="dxa"/>
            </w:tcMar>
          </w:tcPr>
          <w:p>
            <w:r>
              <w:rPr>
                <w:rFonts w:ascii="Arial" w:hAnsi="Arial"/>
                <w:sz w:val="19"/>
              </w:rPr>
              <w:t>Làm mất khóa tủ đồ cá nhân</w:t>
            </w:r>
          </w:p>
        </w:tc>
        <w:tc>
          <w:tcPr>
            <w:tcW w:type="dxa" w:w="3216"/>
            <w:tcMar>
              <w:top w:w="100" w:type="dxa"/>
              <w:bottom w:w="100" w:type="dxa"/>
              <w:left w:w="120" w:type="dxa"/>
              <w:right w:w="120" w:type="dxa"/>
            </w:tcMar>
          </w:tcPr>
          <w:p>
            <w:r>
              <w:rPr>
                <w:rFonts w:ascii="Arial" w:hAnsi="Arial"/>
                <w:sz w:val="19"/>
              </w:rPr>
              <w:t>50.000 VNĐ / chìa khóa / lần</w:t>
            </w:r>
          </w:p>
        </w:tc>
        <w:tc>
          <w:tcPr>
            <w:tcW w:type="dxa" w:w="3216"/>
            <w:tcMar>
              <w:top w:w="100" w:type="dxa"/>
              <w:bottom w:w="100" w:type="dxa"/>
              <w:left w:w="120" w:type="dxa"/>
              <w:right w:w="120" w:type="dxa"/>
            </w:tcMar>
          </w:tcPr>
          <w:p>
            <w:r>
              <w:rPr>
                <w:rFonts w:ascii="Arial" w:hAnsi="Arial"/>
                <w:sz w:val="19"/>
              </w:rPr>
              <w:t>Thủ thư lập biên bản, kiểm tra giấy tờ tùy thân trước khi mở tủ đồ.</w:t>
            </w:r>
          </w:p>
        </w:tc>
      </w:tr>
      <w:tr>
        <w:tc>
          <w:tcPr>
            <w:tcW w:type="dxa" w:w="3216"/>
            <w:shd w:val="clear" w:color="auto" w:fill="F2F5F9"/>
            <w:tcMar>
              <w:top w:w="100" w:type="dxa"/>
              <w:bottom w:w="100" w:type="dxa"/>
              <w:left w:w="120" w:type="dxa"/>
              <w:right w:w="120" w:type="dxa"/>
            </w:tcMar>
          </w:tcPr>
          <w:p>
            <w:r>
              <w:rPr>
                <w:rFonts w:ascii="Arial" w:hAnsi="Arial"/>
                <w:sz w:val="19"/>
              </w:rPr>
              <w:t>Làm mất/hỏng thẻ sinh viên khi qua cổng</w:t>
            </w:r>
          </w:p>
        </w:tc>
        <w:tc>
          <w:tcPr>
            <w:tcW w:type="dxa" w:w="3216"/>
            <w:shd w:val="clear" w:color="auto" w:fill="F2F5F9"/>
            <w:tcMar>
              <w:top w:w="100" w:type="dxa"/>
              <w:bottom w:w="100" w:type="dxa"/>
              <w:left w:w="120" w:type="dxa"/>
              <w:right w:w="120" w:type="dxa"/>
            </w:tcMar>
          </w:tcPr>
          <w:p>
            <w:r>
              <w:rPr>
                <w:rFonts w:ascii="Arial" w:hAnsi="Arial"/>
                <w:sz w:val="19"/>
              </w:rPr>
              <w:t>50.000 VNĐ (phí cấp lại thẻ sinh viên tích hợp thẻ thư viện tại P.CTSV)</w:t>
            </w:r>
          </w:p>
        </w:tc>
        <w:tc>
          <w:tcPr>
            <w:tcW w:type="dxa" w:w="3216"/>
            <w:shd w:val="clear" w:color="auto" w:fill="F2F5F9"/>
            <w:tcMar>
              <w:top w:w="100" w:type="dxa"/>
              <w:bottom w:w="100" w:type="dxa"/>
              <w:left w:w="120" w:type="dxa"/>
              <w:right w:w="120" w:type="dxa"/>
            </w:tcMar>
          </w:tcPr>
          <w:p>
            <w:r>
              <w:rPr>
                <w:rFonts w:ascii="Arial" w:hAnsi="Arial"/>
                <w:sz w:val="19"/>
              </w:rPr>
              <w:t>Sinh viên liên hệ Phòng Công tác Sinh viên (P.CTSV) để làm thủ tục in lại phôi thẻ từ.</w:t>
            </w:r>
          </w:p>
        </w:tc>
      </w:tr>
      <w:tr>
        <w:tc>
          <w:tcPr>
            <w:tcW w:type="dxa" w:w="3216"/>
            <w:tcMar>
              <w:top w:w="100" w:type="dxa"/>
              <w:bottom w:w="100" w:type="dxa"/>
              <w:left w:w="120" w:type="dxa"/>
              <w:right w:w="120" w:type="dxa"/>
            </w:tcMar>
          </w:tcPr>
          <w:p>
            <w:r>
              <w:rPr>
                <w:rFonts w:ascii="Arial" w:hAnsi="Arial"/>
                <w:sz w:val="19"/>
              </w:rPr>
              <w:t>Nói chuyện ồn ào, ăn uống trong phòng đọc</w:t>
            </w:r>
          </w:p>
        </w:tc>
        <w:tc>
          <w:tcPr>
            <w:tcW w:type="dxa" w:w="3216"/>
            <w:tcMar>
              <w:top w:w="100" w:type="dxa"/>
              <w:bottom w:w="100" w:type="dxa"/>
              <w:left w:w="120" w:type="dxa"/>
              <w:right w:w="120" w:type="dxa"/>
            </w:tcMar>
          </w:tcPr>
          <w:p>
            <w:r>
              <w:rPr>
                <w:rFonts w:ascii="Arial" w:hAnsi="Arial"/>
                <w:sz w:val="19"/>
              </w:rPr>
              <w:t>Nhắc nhở lần 1; Thu thẻ thư viện tạm thời 07 ngày ở lần 2; Cấm vào thư viện 01 học kỳ ở lần 3</w:t>
            </w:r>
          </w:p>
        </w:tc>
        <w:tc>
          <w:tcPr>
            <w:tcW w:type="dxa" w:w="3216"/>
            <w:tcMar>
              <w:top w:w="100" w:type="dxa"/>
              <w:bottom w:w="100" w:type="dxa"/>
              <w:left w:w="120" w:type="dxa"/>
              <w:right w:w="120" w:type="dxa"/>
            </w:tcMar>
          </w:tcPr>
          <w:p>
            <w:r>
              <w:rPr>
                <w:rFonts w:ascii="Arial" w:hAnsi="Arial"/>
                <w:sz w:val="19"/>
              </w:rPr>
              <w:t>Camera an ninh giám sát 24/7 ghi nhận vi phạm và gửi danh sách về Phòng CTSV để trừ Điểm rèn luyện.</w:t>
            </w:r>
          </w:p>
        </w:tc>
      </w:tr>
    </w:tbl>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Lĩnh Vực Chuyên Ngành</w:t>
            </w:r>
          </w:p>
        </w:tc>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Tên Tạp Chí Quốc Tế</w:t>
            </w:r>
          </w:p>
        </w:tc>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Phân Hạng</w:t>
            </w:r>
          </w:p>
        </w:tc>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Nhà Xuất Bản</w:t>
            </w:r>
          </w:p>
        </w:tc>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Đặc Tả &amp; Mức Độ Ảnh Hưởng (Impact)</w:t>
            </w:r>
          </w:p>
        </w:tc>
      </w:tr>
      <w:tr>
        <w:tc>
          <w:tcPr>
            <w:tcW w:type="dxa" w:w="1930"/>
            <w:shd w:val="clear" w:color="auto" w:fill="F2F5F9"/>
            <w:tcMar>
              <w:top w:w="100" w:type="dxa"/>
              <w:bottom w:w="100" w:type="dxa"/>
              <w:left w:w="120" w:type="dxa"/>
              <w:right w:w="120" w:type="dxa"/>
            </w:tcMar>
          </w:tcPr>
          <w:p>
            <w:r>
              <w:rPr>
                <w:rFonts w:ascii="Arial" w:hAnsi="Arial"/>
                <w:sz w:val="19"/>
              </w:rPr>
              <w:t>Khoa học Máy tính &amp; AI</w:t>
            </w:r>
          </w:p>
        </w:tc>
        <w:tc>
          <w:tcPr>
            <w:tcW w:type="dxa" w:w="1930"/>
            <w:shd w:val="clear" w:color="auto" w:fill="F2F5F9"/>
            <w:tcMar>
              <w:top w:w="100" w:type="dxa"/>
              <w:bottom w:w="100" w:type="dxa"/>
              <w:left w:w="120" w:type="dxa"/>
              <w:right w:w="120" w:type="dxa"/>
            </w:tcMar>
          </w:tcPr>
          <w:p>
            <w:r>
              <w:rPr>
                <w:rFonts w:ascii="Arial" w:hAnsi="Arial"/>
                <w:sz w:val="19"/>
              </w:rPr>
              <w:t>IEEE Transactions on Pattern Analysis and Machine Intelligence (TPAMI)</w:t>
            </w:r>
          </w:p>
        </w:tc>
        <w:tc>
          <w:tcPr>
            <w:tcW w:type="dxa" w:w="1930"/>
            <w:shd w:val="clear" w:color="auto" w:fill="F2F5F9"/>
            <w:tcMar>
              <w:top w:w="100" w:type="dxa"/>
              <w:bottom w:w="100" w:type="dxa"/>
              <w:left w:w="120" w:type="dxa"/>
              <w:right w:w="120" w:type="dxa"/>
            </w:tcMar>
          </w:tcPr>
          <w:p>
            <w:r>
              <w:rPr>
                <w:rFonts w:ascii="Arial" w:hAnsi="Arial"/>
                <w:sz w:val="19"/>
              </w:rPr>
              <w:t>Q1</w:t>
            </w:r>
          </w:p>
        </w:tc>
        <w:tc>
          <w:tcPr>
            <w:tcW w:type="dxa" w:w="1930"/>
            <w:shd w:val="clear" w:color="auto" w:fill="F2F5F9"/>
            <w:tcMar>
              <w:top w:w="100" w:type="dxa"/>
              <w:bottom w:w="100" w:type="dxa"/>
              <w:left w:w="120" w:type="dxa"/>
              <w:right w:w="120" w:type="dxa"/>
            </w:tcMar>
          </w:tcPr>
          <w:p>
            <w:r>
              <w:rPr>
                <w:rFonts w:ascii="Arial" w:hAnsi="Arial"/>
                <w:sz w:val="19"/>
              </w:rPr>
              <w:t>IEEE</w:t>
            </w:r>
          </w:p>
        </w:tc>
        <w:tc>
          <w:tcPr>
            <w:tcW w:type="dxa" w:w="1930"/>
            <w:shd w:val="clear" w:color="auto" w:fill="F2F5F9"/>
            <w:tcMar>
              <w:top w:w="100" w:type="dxa"/>
              <w:bottom w:w="100" w:type="dxa"/>
              <w:left w:w="120" w:type="dxa"/>
              <w:right w:w="120" w:type="dxa"/>
            </w:tcMar>
          </w:tcPr>
          <w:p>
            <w:r>
              <w:rPr>
                <w:rFonts w:ascii="Arial" w:hAnsi="Arial"/>
                <w:sz w:val="19"/>
              </w:rPr>
              <w:t>Impact Factor: 20.8. Tạp chí hàng đầu thế giới về Thị giác máy tính và Trí tuệ nhân tạo.</w:t>
            </w:r>
          </w:p>
        </w:tc>
      </w:tr>
      <w:tr>
        <w:tc>
          <w:tcPr>
            <w:tcW w:type="dxa" w:w="1930"/>
            <w:tcMar>
              <w:top w:w="100" w:type="dxa"/>
              <w:bottom w:w="100" w:type="dxa"/>
              <w:left w:w="120" w:type="dxa"/>
              <w:right w:w="120" w:type="dxa"/>
            </w:tcMar>
          </w:tcPr>
          <w:p>
            <w:r>
              <w:rPr>
                <w:rFonts w:ascii="Arial" w:hAnsi="Arial"/>
                <w:sz w:val="19"/>
              </w:rPr>
              <w:t>Khoa học Máy tính &amp; AI</w:t>
            </w:r>
          </w:p>
        </w:tc>
        <w:tc>
          <w:tcPr>
            <w:tcW w:type="dxa" w:w="1930"/>
            <w:tcMar>
              <w:top w:w="100" w:type="dxa"/>
              <w:bottom w:w="100" w:type="dxa"/>
              <w:left w:w="120" w:type="dxa"/>
              <w:right w:w="120" w:type="dxa"/>
            </w:tcMar>
          </w:tcPr>
          <w:p>
            <w:r>
              <w:rPr>
                <w:rFonts w:ascii="Arial" w:hAnsi="Arial"/>
                <w:sz w:val="19"/>
              </w:rPr>
              <w:t>ACM Computing Surveys (CSUR)</w:t>
            </w:r>
          </w:p>
        </w:tc>
        <w:tc>
          <w:tcPr>
            <w:tcW w:type="dxa" w:w="1930"/>
            <w:tcMar>
              <w:top w:w="100" w:type="dxa"/>
              <w:bottom w:w="100" w:type="dxa"/>
              <w:left w:w="120" w:type="dxa"/>
              <w:right w:w="120" w:type="dxa"/>
            </w:tcMar>
          </w:tcPr>
          <w:p>
            <w:r>
              <w:rPr>
                <w:rFonts w:ascii="Arial" w:hAnsi="Arial"/>
                <w:sz w:val="19"/>
              </w:rPr>
              <w:t>Q1</w:t>
            </w:r>
          </w:p>
        </w:tc>
        <w:tc>
          <w:tcPr>
            <w:tcW w:type="dxa" w:w="1930"/>
            <w:tcMar>
              <w:top w:w="100" w:type="dxa"/>
              <w:bottom w:w="100" w:type="dxa"/>
              <w:left w:w="120" w:type="dxa"/>
              <w:right w:w="120" w:type="dxa"/>
            </w:tcMar>
          </w:tcPr>
          <w:p>
            <w:r>
              <w:rPr>
                <w:rFonts w:ascii="Arial" w:hAnsi="Arial"/>
                <w:sz w:val="19"/>
              </w:rPr>
              <w:t>ACM</w:t>
            </w:r>
          </w:p>
        </w:tc>
        <w:tc>
          <w:tcPr>
            <w:tcW w:type="dxa" w:w="1930"/>
            <w:tcMar>
              <w:top w:w="100" w:type="dxa"/>
              <w:bottom w:w="100" w:type="dxa"/>
              <w:left w:w="120" w:type="dxa"/>
              <w:right w:w="120" w:type="dxa"/>
            </w:tcMar>
          </w:tcPr>
          <w:p>
            <w:r>
              <w:rPr>
                <w:rFonts w:ascii="Arial" w:hAnsi="Arial"/>
                <w:sz w:val="19"/>
              </w:rPr>
              <w:t>Impact Factor: 16.6. Khảo sát toàn diện các hướng nghiên cứu thuật toán tiên tiến.</w:t>
            </w:r>
          </w:p>
        </w:tc>
      </w:tr>
      <w:tr>
        <w:tc>
          <w:tcPr>
            <w:tcW w:type="dxa" w:w="1930"/>
            <w:shd w:val="clear" w:color="auto" w:fill="F2F5F9"/>
            <w:tcMar>
              <w:top w:w="100" w:type="dxa"/>
              <w:bottom w:w="100" w:type="dxa"/>
              <w:left w:w="120" w:type="dxa"/>
              <w:right w:w="120" w:type="dxa"/>
            </w:tcMar>
          </w:tcPr>
          <w:p>
            <w:r>
              <w:rPr>
                <w:rFonts w:ascii="Arial" w:hAnsi="Arial"/>
                <w:sz w:val="19"/>
              </w:rPr>
              <w:t>Toán học Lý thuyết &amp; Ứng dụng</w:t>
            </w:r>
          </w:p>
        </w:tc>
        <w:tc>
          <w:tcPr>
            <w:tcW w:type="dxa" w:w="1930"/>
            <w:shd w:val="clear" w:color="auto" w:fill="F2F5F9"/>
            <w:tcMar>
              <w:top w:w="100" w:type="dxa"/>
              <w:bottom w:w="100" w:type="dxa"/>
              <w:left w:w="120" w:type="dxa"/>
              <w:right w:w="120" w:type="dxa"/>
            </w:tcMar>
          </w:tcPr>
          <w:p>
            <w:r>
              <w:rPr>
                <w:rFonts w:ascii="Arial" w:hAnsi="Arial"/>
                <w:sz w:val="19"/>
              </w:rPr>
              <w:t>Journal of Differential Equations</w:t>
            </w:r>
          </w:p>
        </w:tc>
        <w:tc>
          <w:tcPr>
            <w:tcW w:type="dxa" w:w="1930"/>
            <w:shd w:val="clear" w:color="auto" w:fill="F2F5F9"/>
            <w:tcMar>
              <w:top w:w="100" w:type="dxa"/>
              <w:bottom w:w="100" w:type="dxa"/>
              <w:left w:w="120" w:type="dxa"/>
              <w:right w:w="120" w:type="dxa"/>
            </w:tcMar>
          </w:tcPr>
          <w:p>
            <w:r>
              <w:rPr>
                <w:rFonts w:ascii="Arial" w:hAnsi="Arial"/>
                <w:sz w:val="19"/>
              </w:rPr>
              <w:t>Q1</w:t>
            </w:r>
          </w:p>
        </w:tc>
        <w:tc>
          <w:tcPr>
            <w:tcW w:type="dxa" w:w="1930"/>
            <w:shd w:val="clear" w:color="auto" w:fill="F2F5F9"/>
            <w:tcMar>
              <w:top w:w="100" w:type="dxa"/>
              <w:bottom w:w="100" w:type="dxa"/>
              <w:left w:w="120" w:type="dxa"/>
              <w:right w:w="120" w:type="dxa"/>
            </w:tcMar>
          </w:tcPr>
          <w:p>
            <w:r>
              <w:rPr>
                <w:rFonts w:ascii="Arial" w:hAnsi="Arial"/>
                <w:sz w:val="19"/>
              </w:rPr>
              <w:t>Elsevier</w:t>
            </w:r>
          </w:p>
        </w:tc>
        <w:tc>
          <w:tcPr>
            <w:tcW w:type="dxa" w:w="1930"/>
            <w:shd w:val="clear" w:color="auto" w:fill="F2F5F9"/>
            <w:tcMar>
              <w:top w:w="100" w:type="dxa"/>
              <w:bottom w:w="100" w:type="dxa"/>
              <w:left w:w="120" w:type="dxa"/>
              <w:right w:w="120" w:type="dxa"/>
            </w:tcMar>
          </w:tcPr>
          <w:p>
            <w:r>
              <w:rPr>
                <w:rFonts w:ascii="Arial" w:hAnsi="Arial"/>
                <w:sz w:val="19"/>
              </w:rPr>
              <w:t>Tạp chí chuẩn mực về phương trình vi phân và giải tích ứng dụng.</w:t>
            </w:r>
          </w:p>
        </w:tc>
      </w:tr>
      <w:tr>
        <w:tc>
          <w:tcPr>
            <w:tcW w:type="dxa" w:w="1930"/>
            <w:tcMar>
              <w:top w:w="100" w:type="dxa"/>
              <w:bottom w:w="100" w:type="dxa"/>
              <w:left w:w="120" w:type="dxa"/>
              <w:right w:w="120" w:type="dxa"/>
            </w:tcMar>
          </w:tcPr>
          <w:p>
            <w:r>
              <w:rPr>
                <w:rFonts w:ascii="Arial" w:hAnsi="Arial"/>
                <w:sz w:val="19"/>
              </w:rPr>
              <w:t>Vật lý &amp; Khoa học Vật liệu</w:t>
            </w:r>
          </w:p>
        </w:tc>
        <w:tc>
          <w:tcPr>
            <w:tcW w:type="dxa" w:w="1930"/>
            <w:tcMar>
              <w:top w:w="100" w:type="dxa"/>
              <w:bottom w:w="100" w:type="dxa"/>
              <w:left w:w="120" w:type="dxa"/>
              <w:right w:w="120" w:type="dxa"/>
            </w:tcMar>
          </w:tcPr>
          <w:p>
            <w:r>
              <w:rPr>
                <w:rFonts w:ascii="Arial" w:hAnsi="Arial"/>
                <w:sz w:val="19"/>
              </w:rPr>
              <w:t>Physical Review Letters (PRL)</w:t>
            </w:r>
          </w:p>
        </w:tc>
        <w:tc>
          <w:tcPr>
            <w:tcW w:type="dxa" w:w="1930"/>
            <w:tcMar>
              <w:top w:w="100" w:type="dxa"/>
              <w:bottom w:w="100" w:type="dxa"/>
              <w:left w:w="120" w:type="dxa"/>
              <w:right w:w="120" w:type="dxa"/>
            </w:tcMar>
          </w:tcPr>
          <w:p>
            <w:r>
              <w:rPr>
                <w:rFonts w:ascii="Arial" w:hAnsi="Arial"/>
                <w:sz w:val="19"/>
              </w:rPr>
              <w:t>Q1</w:t>
            </w:r>
          </w:p>
        </w:tc>
        <w:tc>
          <w:tcPr>
            <w:tcW w:type="dxa" w:w="1930"/>
            <w:tcMar>
              <w:top w:w="100" w:type="dxa"/>
              <w:bottom w:w="100" w:type="dxa"/>
              <w:left w:w="120" w:type="dxa"/>
              <w:right w:w="120" w:type="dxa"/>
            </w:tcMar>
          </w:tcPr>
          <w:p>
            <w:r>
              <w:rPr>
                <w:rFonts w:ascii="Arial" w:hAnsi="Arial"/>
                <w:sz w:val="19"/>
              </w:rPr>
              <w:t>APS</w:t>
            </w:r>
          </w:p>
        </w:tc>
        <w:tc>
          <w:tcPr>
            <w:tcW w:type="dxa" w:w="1930"/>
            <w:tcMar>
              <w:top w:w="100" w:type="dxa"/>
              <w:bottom w:w="100" w:type="dxa"/>
              <w:left w:w="120" w:type="dxa"/>
              <w:right w:w="120" w:type="dxa"/>
            </w:tcMar>
          </w:tcPr>
          <w:p>
            <w:r>
              <w:rPr>
                <w:rFonts w:ascii="Arial" w:hAnsi="Arial"/>
                <w:sz w:val="19"/>
              </w:rPr>
              <w:t>Tạp chí đỉnh cao của Hội Vật lý Hoa Kỳ về các khám phá vật lý lượng tử.</w:t>
            </w:r>
          </w:p>
        </w:tc>
      </w:tr>
      <w:tr>
        <w:tc>
          <w:tcPr>
            <w:tcW w:type="dxa" w:w="1930"/>
            <w:shd w:val="clear" w:color="auto" w:fill="F2F5F9"/>
            <w:tcMar>
              <w:top w:w="100" w:type="dxa"/>
              <w:bottom w:w="100" w:type="dxa"/>
              <w:left w:w="120" w:type="dxa"/>
              <w:right w:w="120" w:type="dxa"/>
            </w:tcMar>
          </w:tcPr>
          <w:p>
            <w:r>
              <w:rPr>
                <w:rFonts w:ascii="Arial" w:hAnsi="Arial"/>
                <w:sz w:val="19"/>
              </w:rPr>
              <w:t>Vật lý &amp; Khoa học Vật liệu</w:t>
            </w:r>
          </w:p>
        </w:tc>
        <w:tc>
          <w:tcPr>
            <w:tcW w:type="dxa" w:w="1930"/>
            <w:shd w:val="clear" w:color="auto" w:fill="F2F5F9"/>
            <w:tcMar>
              <w:top w:w="100" w:type="dxa"/>
              <w:bottom w:w="100" w:type="dxa"/>
              <w:left w:w="120" w:type="dxa"/>
              <w:right w:w="120" w:type="dxa"/>
            </w:tcMar>
          </w:tcPr>
          <w:p>
            <w:r>
              <w:rPr>
                <w:rFonts w:ascii="Arial" w:hAnsi="Arial"/>
                <w:sz w:val="19"/>
              </w:rPr>
              <w:t>Applied Surface Science</w:t>
            </w:r>
          </w:p>
        </w:tc>
        <w:tc>
          <w:tcPr>
            <w:tcW w:type="dxa" w:w="1930"/>
            <w:shd w:val="clear" w:color="auto" w:fill="F2F5F9"/>
            <w:tcMar>
              <w:top w:w="100" w:type="dxa"/>
              <w:bottom w:w="100" w:type="dxa"/>
              <w:left w:w="120" w:type="dxa"/>
              <w:right w:w="120" w:type="dxa"/>
            </w:tcMar>
          </w:tcPr>
          <w:p>
            <w:r>
              <w:rPr>
                <w:rFonts w:ascii="Arial" w:hAnsi="Arial"/>
                <w:sz w:val="19"/>
              </w:rPr>
              <w:t>Q1</w:t>
            </w:r>
          </w:p>
        </w:tc>
        <w:tc>
          <w:tcPr>
            <w:tcW w:type="dxa" w:w="1930"/>
            <w:shd w:val="clear" w:color="auto" w:fill="F2F5F9"/>
            <w:tcMar>
              <w:top w:w="100" w:type="dxa"/>
              <w:bottom w:w="100" w:type="dxa"/>
              <w:left w:w="120" w:type="dxa"/>
              <w:right w:w="120" w:type="dxa"/>
            </w:tcMar>
          </w:tcPr>
          <w:p>
            <w:r>
              <w:rPr>
                <w:rFonts w:ascii="Arial" w:hAnsi="Arial"/>
                <w:sz w:val="19"/>
              </w:rPr>
              <w:t>Elsevier</w:t>
            </w:r>
          </w:p>
        </w:tc>
        <w:tc>
          <w:tcPr>
            <w:tcW w:type="dxa" w:w="1930"/>
            <w:shd w:val="clear" w:color="auto" w:fill="F2F5F9"/>
            <w:tcMar>
              <w:top w:w="100" w:type="dxa"/>
              <w:bottom w:w="100" w:type="dxa"/>
              <w:left w:w="120" w:type="dxa"/>
              <w:right w:w="120" w:type="dxa"/>
            </w:tcMar>
          </w:tcPr>
          <w:p>
            <w:r>
              <w:rPr>
                <w:rFonts w:ascii="Arial" w:hAnsi="Arial"/>
                <w:sz w:val="19"/>
              </w:rPr>
              <w:t>Chuyên ngành vật liệu nano, màng mỏng bán dẫn và xúc tác quang hóa.</w:t>
            </w:r>
          </w:p>
        </w:tc>
      </w:tr>
      <w:tr>
        <w:tc>
          <w:tcPr>
            <w:tcW w:type="dxa" w:w="1930"/>
            <w:tcMar>
              <w:top w:w="100" w:type="dxa"/>
              <w:bottom w:w="100" w:type="dxa"/>
              <w:left w:w="120" w:type="dxa"/>
              <w:right w:w="120" w:type="dxa"/>
            </w:tcMar>
          </w:tcPr>
          <w:p>
            <w:r>
              <w:rPr>
                <w:rFonts w:ascii="Arial" w:hAnsi="Arial"/>
                <w:sz w:val="19"/>
              </w:rPr>
              <w:t>Hóa học &amp; Hóa dược</w:t>
            </w:r>
          </w:p>
        </w:tc>
        <w:tc>
          <w:tcPr>
            <w:tcW w:type="dxa" w:w="1930"/>
            <w:tcMar>
              <w:top w:w="100" w:type="dxa"/>
              <w:bottom w:w="100" w:type="dxa"/>
              <w:left w:w="120" w:type="dxa"/>
              <w:right w:w="120" w:type="dxa"/>
            </w:tcMar>
          </w:tcPr>
          <w:p>
            <w:r>
              <w:rPr>
                <w:rFonts w:ascii="Arial" w:hAnsi="Arial"/>
                <w:sz w:val="19"/>
              </w:rPr>
              <w:t>Journal of the American Chemical Society (JACS)</w:t>
            </w:r>
          </w:p>
        </w:tc>
        <w:tc>
          <w:tcPr>
            <w:tcW w:type="dxa" w:w="1930"/>
            <w:tcMar>
              <w:top w:w="100" w:type="dxa"/>
              <w:bottom w:w="100" w:type="dxa"/>
              <w:left w:w="120" w:type="dxa"/>
              <w:right w:w="120" w:type="dxa"/>
            </w:tcMar>
          </w:tcPr>
          <w:p>
            <w:r>
              <w:rPr>
                <w:rFonts w:ascii="Arial" w:hAnsi="Arial"/>
                <w:sz w:val="19"/>
              </w:rPr>
              <w:t>Q1</w:t>
            </w:r>
          </w:p>
        </w:tc>
        <w:tc>
          <w:tcPr>
            <w:tcW w:type="dxa" w:w="1930"/>
            <w:tcMar>
              <w:top w:w="100" w:type="dxa"/>
              <w:bottom w:w="100" w:type="dxa"/>
              <w:left w:w="120" w:type="dxa"/>
              <w:right w:w="120" w:type="dxa"/>
            </w:tcMar>
          </w:tcPr>
          <w:p>
            <w:r>
              <w:rPr>
                <w:rFonts w:ascii="Arial" w:hAnsi="Arial"/>
                <w:sz w:val="19"/>
              </w:rPr>
              <w:t>ACS</w:t>
            </w:r>
          </w:p>
        </w:tc>
        <w:tc>
          <w:tcPr>
            <w:tcW w:type="dxa" w:w="1930"/>
            <w:tcMar>
              <w:top w:w="100" w:type="dxa"/>
              <w:bottom w:w="100" w:type="dxa"/>
              <w:left w:w="120" w:type="dxa"/>
              <w:right w:w="120" w:type="dxa"/>
            </w:tcMar>
          </w:tcPr>
          <w:p>
            <w:r>
              <w:rPr>
                <w:rFonts w:ascii="Arial" w:hAnsi="Arial"/>
                <w:sz w:val="19"/>
              </w:rPr>
              <w:t>Impact Factor: 15.0. Công bố các đột phá tổng hợp hữu cơ và vật liệu mới.</w:t>
            </w:r>
          </w:p>
        </w:tc>
      </w:tr>
      <w:tr>
        <w:tc>
          <w:tcPr>
            <w:tcW w:type="dxa" w:w="1930"/>
            <w:shd w:val="clear" w:color="auto" w:fill="F2F5F9"/>
            <w:tcMar>
              <w:top w:w="100" w:type="dxa"/>
              <w:bottom w:w="100" w:type="dxa"/>
              <w:left w:w="120" w:type="dxa"/>
              <w:right w:w="120" w:type="dxa"/>
            </w:tcMar>
          </w:tcPr>
          <w:p>
            <w:r>
              <w:rPr>
                <w:rFonts w:ascii="Arial" w:hAnsi="Arial"/>
                <w:sz w:val="19"/>
              </w:rPr>
              <w:t>Sinh học &amp; CNSH</w:t>
            </w:r>
          </w:p>
        </w:tc>
        <w:tc>
          <w:tcPr>
            <w:tcW w:type="dxa" w:w="1930"/>
            <w:shd w:val="clear" w:color="auto" w:fill="F2F5F9"/>
            <w:tcMar>
              <w:top w:w="100" w:type="dxa"/>
              <w:bottom w:w="100" w:type="dxa"/>
              <w:left w:w="120" w:type="dxa"/>
              <w:right w:w="120" w:type="dxa"/>
            </w:tcMar>
          </w:tcPr>
          <w:p>
            <w:r>
              <w:rPr>
                <w:rFonts w:ascii="Arial" w:hAnsi="Arial"/>
                <w:sz w:val="19"/>
              </w:rPr>
              <w:t>Nature Communications</w:t>
            </w:r>
          </w:p>
        </w:tc>
        <w:tc>
          <w:tcPr>
            <w:tcW w:type="dxa" w:w="1930"/>
            <w:shd w:val="clear" w:color="auto" w:fill="F2F5F9"/>
            <w:tcMar>
              <w:top w:w="100" w:type="dxa"/>
              <w:bottom w:w="100" w:type="dxa"/>
              <w:left w:w="120" w:type="dxa"/>
              <w:right w:w="120" w:type="dxa"/>
            </w:tcMar>
          </w:tcPr>
          <w:p>
            <w:r>
              <w:rPr>
                <w:rFonts w:ascii="Arial" w:hAnsi="Arial"/>
                <w:sz w:val="19"/>
              </w:rPr>
              <w:t>Q1</w:t>
            </w:r>
          </w:p>
        </w:tc>
        <w:tc>
          <w:tcPr>
            <w:tcW w:type="dxa" w:w="1930"/>
            <w:shd w:val="clear" w:color="auto" w:fill="F2F5F9"/>
            <w:tcMar>
              <w:top w:w="100" w:type="dxa"/>
              <w:bottom w:w="100" w:type="dxa"/>
              <w:left w:w="120" w:type="dxa"/>
              <w:right w:w="120" w:type="dxa"/>
            </w:tcMar>
          </w:tcPr>
          <w:p>
            <w:r>
              <w:rPr>
                <w:rFonts w:ascii="Arial" w:hAnsi="Arial"/>
                <w:sz w:val="19"/>
              </w:rPr>
              <w:t>Nature Portfolio</w:t>
            </w:r>
          </w:p>
        </w:tc>
        <w:tc>
          <w:tcPr>
            <w:tcW w:type="dxa" w:w="1930"/>
            <w:shd w:val="clear" w:color="auto" w:fill="F2F5F9"/>
            <w:tcMar>
              <w:top w:w="100" w:type="dxa"/>
              <w:bottom w:w="100" w:type="dxa"/>
              <w:left w:w="120" w:type="dxa"/>
              <w:right w:w="120" w:type="dxa"/>
            </w:tcMar>
          </w:tcPr>
          <w:p>
            <w:r>
              <w:rPr>
                <w:rFonts w:ascii="Arial" w:hAnsi="Arial"/>
                <w:sz w:val="19"/>
              </w:rPr>
              <w:t>Tạp chí đa ngành mở công bố các công trình sinh học phân tử và y sinh học.</w:t>
            </w:r>
          </w:p>
        </w:tc>
      </w:tr>
      <w:tr>
        <w:tc>
          <w:tcPr>
            <w:tcW w:type="dxa" w:w="1930"/>
            <w:tcMar>
              <w:top w:w="100" w:type="dxa"/>
              <w:bottom w:w="100" w:type="dxa"/>
              <w:left w:w="120" w:type="dxa"/>
              <w:right w:w="120" w:type="dxa"/>
            </w:tcMar>
          </w:tcPr>
          <w:p>
            <w:r>
              <w:rPr>
                <w:rFonts w:ascii="Arial" w:hAnsi="Arial"/>
                <w:sz w:val="19"/>
              </w:rPr>
              <w:t>Môi trường &amp; Biến đổi khí hậu</w:t>
            </w:r>
          </w:p>
        </w:tc>
        <w:tc>
          <w:tcPr>
            <w:tcW w:type="dxa" w:w="1930"/>
            <w:tcMar>
              <w:top w:w="100" w:type="dxa"/>
              <w:bottom w:w="100" w:type="dxa"/>
              <w:left w:w="120" w:type="dxa"/>
              <w:right w:w="120" w:type="dxa"/>
            </w:tcMar>
          </w:tcPr>
          <w:p>
            <w:r>
              <w:rPr>
                <w:rFonts w:ascii="Arial" w:hAnsi="Arial"/>
                <w:sz w:val="19"/>
              </w:rPr>
              <w:t>Science of The Total Environment</w:t>
            </w:r>
          </w:p>
        </w:tc>
        <w:tc>
          <w:tcPr>
            <w:tcW w:type="dxa" w:w="1930"/>
            <w:tcMar>
              <w:top w:w="100" w:type="dxa"/>
              <w:bottom w:w="100" w:type="dxa"/>
              <w:left w:w="120" w:type="dxa"/>
              <w:right w:w="120" w:type="dxa"/>
            </w:tcMar>
          </w:tcPr>
          <w:p>
            <w:r>
              <w:rPr>
                <w:rFonts w:ascii="Arial" w:hAnsi="Arial"/>
                <w:sz w:val="19"/>
              </w:rPr>
              <w:t>Q1</w:t>
            </w:r>
          </w:p>
        </w:tc>
        <w:tc>
          <w:tcPr>
            <w:tcW w:type="dxa" w:w="1930"/>
            <w:tcMar>
              <w:top w:w="100" w:type="dxa"/>
              <w:bottom w:w="100" w:type="dxa"/>
              <w:left w:w="120" w:type="dxa"/>
              <w:right w:w="120" w:type="dxa"/>
            </w:tcMar>
          </w:tcPr>
          <w:p>
            <w:r>
              <w:rPr>
                <w:rFonts w:ascii="Arial" w:hAnsi="Arial"/>
                <w:sz w:val="19"/>
              </w:rPr>
              <w:t>Elsevier</w:t>
            </w:r>
          </w:p>
        </w:tc>
        <w:tc>
          <w:tcPr>
            <w:tcW w:type="dxa" w:w="1930"/>
            <w:tcMar>
              <w:top w:w="100" w:type="dxa"/>
              <w:bottom w:w="100" w:type="dxa"/>
              <w:left w:w="120" w:type="dxa"/>
              <w:right w:w="120" w:type="dxa"/>
            </w:tcMar>
          </w:tcPr>
          <w:p>
            <w:r>
              <w:rPr>
                <w:rFonts w:ascii="Arial" w:hAnsi="Arial"/>
                <w:sz w:val="19"/>
              </w:rPr>
              <w:t>Nghiên cứu ô nhiễm không khí, kim loại nặng và quản lý tài nguyên nước.</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