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2"/>
        </w:rPr>
        <w:t>TÀI LIỆU CƠ SỞ TRI THỨC BẬC CAO TOÀN DIỆN (MASTER KNOWLEDGE BASE)</w:t>
      </w:r>
    </w:p>
    <w:p>
      <w:pPr>
        <w:jc w:val="center"/>
      </w:pPr>
      <w:r>
        <w:rPr>
          <w:rFonts w:ascii="Arial" w:hAnsi="Arial"/>
          <w:i/>
          <w:color w:val="646464"/>
          <w:sz w:val="20"/>
        </w:rPr>
        <w:t>FLAGSHIP AGENT: SCHOLARSHIP MATCHING AGENT (HỌC BỔNG &amp; HỖ TRỢ TÀI CHÍNH SINH VIÊN)</w:t>
        <w:br/>
        <w:t>HCMUS Smart Campus – Sub-space 02: Student Services | Wesome AI Platform</w:t>
      </w:r>
    </w:p>
    <w:p/>
    <w:tbl>
      <w:tblPr>
        <w:tblW w:type="auto" w:w="0"/>
        <w:jc w:val="center"/>
        <w:tblLook w:firstColumn="1" w:firstRow="1" w:lastColumn="0" w:lastRow="0" w:noHBand="0" w:noVBand="1" w:val="04A0"/>
      </w:tblPr>
      <w:tblGrid>
        <w:gridCol w:w="9648"/>
      </w:tblGrid>
      <w:tr>
        <w:tc>
          <w:tcPr>
            <w:tcW w:type="dxa" w:w="9648"/>
            <w:shd w:val="clear" w:color="auto" w:fill="1B365D"/>
            <w:tcMar>
              <w:top w:w="100" w:type="dxa"/>
              <w:bottom w:w="100" w:type="dxa"/>
              <w:left w:w="120" w:type="dxa"/>
              <w:right w:w="120" w:type="dxa"/>
            </w:tcMar>
          </w:tcPr>
          <w:p>
            <w:pPr>
              <w:jc w:val="center"/>
            </w:pPr>
            <w:r>
              <w:rPr>
                <w:rFonts w:ascii="Arial" w:hAnsi="Arial"/>
                <w:b/>
                <w:color w:val="FFFFFF"/>
                <w:sz w:val="19"/>
              </w:rPr>
              <w:t>TỔNG QUAN TÀI LIỆU CƠ SỞ TRI THỨC: Tài liệu này là Cơ sở Tri thức Master đồ sộ của Flagship Scholarship Matching Agent. Hợp nhất toàn văn chính sách Học bổng Khuyến khích Học tập, 25+ học bổng tài trợ doanh nghiệp, NGUYÊN VĂN quy định Miễn giảm học phí NĐ 81/2021 (Trang 168-170), NGUYÊN VĂN Trợ cấp xã hội &amp; DTTS (Trang 170-173), NGUYÊN VĂN Quy chế Đánh giá Rèn luyện (Trang 116-137) và NGUYÊN VĂN Quy định Khen thưởng Kỷ luật (Trang 138-155).</w:t>
            </w:r>
          </w:p>
        </w:tc>
      </w:tr>
    </w:tbl>
    <w:p/>
    <w:p>
      <w:pPr>
        <w:spacing w:after="80" w:line="276" w:lineRule="auto"/>
      </w:pPr>
      <w:r>
        <w:rPr>
          <w:rFonts w:ascii="Arial" w:hAnsi="Arial"/>
          <w:color w:val="282828"/>
          <w:sz w:val="20"/>
        </w:rPr>
        <w:t>TÀI LIỆU CƠ SỞ TRI THỨC BẬC CAO TOÀN DIỆN (ULTIMATE MASTER KNOWLEDGE BASE)</w:t>
        <w:br/>
        <w:t>CHÍNH SÁCH HỌC BỔNG, HỖ TRỢ TÀI CHÍNH, MIỄN GIẢM HỌC PHÍ &amp; ĐÁNH GIÁ RÈN LUYỆN HCMUS SMART CAMPUS – SUB-SPACE 02: DỊCH VỤ &amp; ĐỜI SỐNG SINH VIÊN</w:t>
        <w:br/>
        <w:t>FLAGSHIP AGENT: SCHOLARSHIP MATCHING AGENT (scholarship-matching-agent)</w:t>
        <w:br/>
        <w:t>Căn cứ: Sổ tay Sinh viên 2025-2026, NĐ 84/2020/NĐ-CP, NĐ 81/2021/NĐ-CP, NĐ 57/2017/NĐ-CP, QĐ 2738/QĐ-KHTN</w:t>
      </w:r>
    </w:p>
    <w:p>
      <w:pPr>
        <w:spacing w:before="200" w:after="80"/>
      </w:pPr>
      <w:r>
        <w:rPr>
          <w:rFonts w:ascii="Arial" w:hAnsi="Arial"/>
          <w:b/>
          <w:color w:val="003366"/>
          <w:sz w:val="25"/>
        </w:rPr>
        <w:t>PHẦN 1: HỌC BỔNG KHUYẾN KHÍCH HỌC TẬP (CĂN CỨ TRANG 174 STSV &amp; NĐ 84/2020)</w:t>
      </w:r>
    </w:p>
    <w:p>
      <w:pPr>
        <w:spacing w:before="200" w:after="80"/>
      </w:pPr>
      <w:r>
        <w:rPr>
          <w:rFonts w:ascii="Arial" w:hAnsi="Arial"/>
          <w:b/>
          <w:color w:val="003366"/>
          <w:sz w:val="25"/>
        </w:rPr>
        <w:t>PHẦN 2: DANH MỤC 25+ HỌC BỔNG TÀI TRỢ DOANH NGHIỆP &amp; QUỐC TẾ THƯỜNG NIÊN</w:t>
      </w:r>
    </w:p>
    <w:p>
      <w:pPr>
        <w:spacing w:after="80" w:line="276" w:lineRule="auto"/>
      </w:pPr>
      <w:r>
        <w:rPr>
          <w:rFonts w:ascii="Arial" w:hAnsi="Arial"/>
          <w:color w:val="282828"/>
          <w:sz w:val="20"/>
        </w:rPr>
        <w:t>Học bổng Vallet (Tổ chức Khoa học Gặp gỡ Việt Nam - Odon Vallet) Thời gian: • Thời gian mở đơn thường niên: Tháng 8 - Tháng 9 Trị giá: • Giá trị học bổng: 20.000.000 - 25.000.000 VNĐ Điều kiện xét: • Tiêu chuẩn &amp; Đối tượng:</w:t>
      </w:r>
    </w:p>
    <w:p>
      <w:pPr>
        <w:spacing w:after="80" w:line="276" w:lineRule="auto"/>
      </w:pPr>
      <w:r>
        <w:rPr>
          <w:rFonts w:ascii="Arial" w:hAnsi="Arial"/>
          <w:color w:val="282828"/>
          <w:sz w:val="20"/>
        </w:rPr>
        <w:t>Đối tượng: Sinh viên các ngành Khoa học Cơ bản (Toán, Vật lý, Hóa học, Sinh học) từ năm 2 trở lên.</w:t>
      </w:r>
    </w:p>
    <w:p>
      <w:pPr>
        <w:spacing w:after="80" w:line="276" w:lineRule="auto"/>
      </w:pPr>
      <w:r>
        <w:rPr>
          <w:rFonts w:ascii="Arial" w:hAnsi="Arial"/>
          <w:color w:val="282828"/>
          <w:sz w:val="20"/>
        </w:rPr>
        <w:t>Tiêu chuẩn: GPA năm học &gt;= 8.5 (hoặc 3.5/4.0), ĐRL Tốt trở lên, có đam mê NCKH sâu sắc hoặc đạt giải thưởng Olympic/NCKH.</w:t>
      </w:r>
    </w:p>
    <w:p>
      <w:pPr>
        <w:spacing w:after="80" w:line="276" w:lineRule="auto"/>
      </w:pPr>
      <w:r>
        <w:rPr>
          <w:rFonts w:ascii="Arial" w:hAnsi="Arial"/>
          <w:color w:val="282828"/>
          <w:sz w:val="20"/>
        </w:rPr>
        <w:t>Học bổng Lawrence S. Ting (Quỹ Đinh Thiện Lý) Thời gian: • Thời gian mở đơn thường niên: Tháng 5 - Tháng 6 Trị giá: • Giá trị học bổng: 14.000.000 VNĐ / năm học Điều kiện xét: • Tiêu chuẩn &amp; Đối tượng:</w:t>
      </w:r>
    </w:p>
    <w:p>
      <w:pPr>
        <w:spacing w:after="80" w:line="276" w:lineRule="auto"/>
      </w:pPr>
      <w:r>
        <w:rPr>
          <w:rFonts w:ascii="Arial" w:hAnsi="Arial"/>
          <w:color w:val="282828"/>
          <w:sz w:val="20"/>
        </w:rPr>
        <w:t>Đối tượng: Sinh viên năm 2, 3 có hoàn cảnh khó khăn nhưng thành tích học tập xuất sắc.</w:t>
      </w:r>
    </w:p>
    <w:p>
      <w:pPr>
        <w:spacing w:after="80" w:line="276" w:lineRule="auto"/>
      </w:pPr>
      <w:r>
        <w:rPr>
          <w:rFonts w:ascii="Arial" w:hAnsi="Arial"/>
          <w:color w:val="282828"/>
          <w:sz w:val="20"/>
        </w:rPr>
        <w:t>Tiêu chuẩn: GPA năm học &gt;= 8.0, ĐRL &gt;= 80, tích cực tham gia các hoạt động cộng đồng.</w:t>
      </w:r>
    </w:p>
    <w:p>
      <w:pPr>
        <w:spacing w:after="80" w:line="276" w:lineRule="auto"/>
      </w:pPr>
      <w:r>
        <w:rPr>
          <w:rFonts w:ascii="Arial" w:hAnsi="Arial"/>
          <w:color w:val="282828"/>
          <w:sz w:val="20"/>
        </w:rPr>
        <w:t>Học bổng Pony Chung (Tập đoàn Hyundai - Hàn Quốc) Thời gian: • Thời gian mở đơn thường niên: Tháng 9 - Tháng 10 Trị giá: • Giá trị học bổng: 600 USD (khoảng 14.500.000 VNĐ) Điều kiện xét: • Tiêu chuẩn &amp; Đối tượng:</w:t>
      </w:r>
    </w:p>
    <w:p>
      <w:pPr>
        <w:spacing w:after="80" w:line="276" w:lineRule="auto"/>
      </w:pPr>
      <w:r>
        <w:rPr>
          <w:rFonts w:ascii="Arial" w:hAnsi="Arial"/>
          <w:color w:val="282828"/>
          <w:sz w:val="20"/>
        </w:rPr>
        <w:t>Đối tượng: Sinh viên năm 3, 4 tất cả các ngành của HCMUS.</w:t>
      </w:r>
    </w:p>
    <w:p>
      <w:pPr>
        <w:spacing w:after="80" w:line="276" w:lineRule="auto"/>
      </w:pPr>
      <w:r>
        <w:rPr>
          <w:rFonts w:ascii="Arial" w:hAnsi="Arial"/>
          <w:color w:val="282828"/>
          <w:sz w:val="20"/>
        </w:rPr>
        <w:t>Tiêu chuẩn: GPA tích lũy &gt;= 8.0, trình độ tiếng Anh tốt (ưu tiên có chứng chỉ IELTS/TOEIC), có tố chất lãnh đạo.</w:t>
      </w:r>
    </w:p>
    <w:p>
      <w:pPr>
        <w:spacing w:after="80" w:line="276" w:lineRule="auto"/>
      </w:pPr>
      <w:r>
        <w:rPr>
          <w:rFonts w:ascii="Arial" w:hAnsi="Arial"/>
          <w:color w:val="282828"/>
          <w:sz w:val="20"/>
        </w:rPr>
        <w:t>Học bổng POSCO TJ Park (Tập đoàn Thép POSCO - Hàn Quốc) Thời gian: • Thời gian mở đơn thường niên: Tháng 9 - Tháng 10 Trị giá: • Giá trị học bổng: 1.000 USD / năm học Điều kiện xét: • Tiêu chuẩn &amp; Đối tượng:</w:t>
      </w:r>
    </w:p>
    <w:p>
      <w:pPr>
        <w:spacing w:after="80" w:line="276" w:lineRule="auto"/>
      </w:pPr>
      <w:r>
        <w:rPr>
          <w:rFonts w:ascii="Arial" w:hAnsi="Arial"/>
          <w:color w:val="282828"/>
          <w:sz w:val="20"/>
        </w:rPr>
        <w:t>Đối tượng: Sinh viên năm 2, 3 các ngành Khoa học Tự nhiên và Kỹ thuật.</w:t>
      </w:r>
    </w:p>
    <w:p>
      <w:pPr>
        <w:spacing w:after="80" w:line="276" w:lineRule="auto"/>
      </w:pPr>
      <w:r>
        <w:rPr>
          <w:rFonts w:ascii="Arial" w:hAnsi="Arial"/>
          <w:color w:val="282828"/>
          <w:sz w:val="20"/>
        </w:rPr>
        <w:t>Tiêu chuẩn: GPA &gt;= 8.0, ưu tiên sinh viên có hoàn cảnh khó khăn và trình độ ngoại ngữ xuất sắc.</w:t>
      </w:r>
    </w:p>
    <w:p>
      <w:pPr>
        <w:spacing w:after="80" w:line="276" w:lineRule="auto"/>
      </w:pPr>
      <w:r>
        <w:rPr>
          <w:rFonts w:ascii="Arial" w:hAnsi="Arial"/>
          <w:color w:val="282828"/>
          <w:sz w:val="20"/>
        </w:rPr>
        <w:t>Học bổng Hessen (Bộ Khoa học &amp; Nghệ thuật Bang Hessen - CHLB Đức) Thời gian: • Thời gian mở đơn thường niên: Tháng 9 - Tháng 10 Trị giá: • Giá trị học bổng: 216 Euro (khoảng 5.800.000 VNĐ) Điều kiện xét: • Tiêu chuẩn &amp; Đối tượng:</w:t>
      </w:r>
    </w:p>
    <w:p>
      <w:pPr>
        <w:spacing w:after="80" w:line="276" w:lineRule="auto"/>
      </w:pPr>
      <w:r>
        <w:rPr>
          <w:rFonts w:ascii="Arial" w:hAnsi="Arial"/>
          <w:color w:val="282828"/>
          <w:sz w:val="20"/>
        </w:rPr>
        <w:t>Đối tượng: Sinh viên nghèo vượt khó, đồng bào dân tộc thiểu số hoặc gia đình chính sách.</w:t>
      </w:r>
    </w:p>
    <w:p>
      <w:pPr>
        <w:spacing w:after="80" w:line="276" w:lineRule="auto"/>
      </w:pPr>
      <w:r>
        <w:rPr>
          <w:rFonts w:ascii="Arial" w:hAnsi="Arial"/>
          <w:color w:val="282828"/>
          <w:sz w:val="20"/>
        </w:rPr>
        <w:t>Tiêu chuẩn: GPA &gt;= 7.5, ĐRL &gt;= 80, có hoàn cảnh khó khăn được địa phương xác nhận.</w:t>
      </w:r>
    </w:p>
    <w:p>
      <w:pPr>
        <w:spacing w:after="80" w:line="276" w:lineRule="auto"/>
      </w:pPr>
      <w:r>
        <w:rPr>
          <w:rFonts w:ascii="Arial" w:hAnsi="Arial"/>
          <w:color w:val="282828"/>
          <w:sz w:val="20"/>
        </w:rPr>
        <w:t>Học bổng Lotte (Tập đoàn Lotte - Hàn Quốc) Thời gian: • Thời gian mở đơn thường niên: 2 đợt: Tháng 4 và Tháng 10 Trị giá: • Giá trị học bổng: 400 USD / kỳ (khoảng 9.500.000 VNĐ) Điều kiện xét: • Tiêu chuẩn &amp; Đối tượng:</w:t>
      </w:r>
    </w:p>
    <w:p>
      <w:pPr>
        <w:spacing w:after="80" w:line="276" w:lineRule="auto"/>
      </w:pPr>
      <w:r>
        <w:rPr>
          <w:rFonts w:ascii="Arial" w:hAnsi="Arial"/>
          <w:color w:val="282828"/>
          <w:sz w:val="20"/>
        </w:rPr>
        <w:t>Đối tượng: Sinh viên năm 2, 3, 4 có thành tích học tập tốt và hoàn cảnh cần hỗ trợ.</w:t>
      </w:r>
    </w:p>
    <w:p>
      <w:pPr>
        <w:spacing w:after="80" w:line="276" w:lineRule="auto"/>
      </w:pPr>
      <w:r>
        <w:rPr>
          <w:rFonts w:ascii="Arial" w:hAnsi="Arial"/>
          <w:color w:val="282828"/>
          <w:sz w:val="20"/>
        </w:rPr>
        <w:t>Tiêu chuẩn: GPA học kỳ &gt;= 7.5, ĐRL Tốt.</w:t>
      </w:r>
    </w:p>
    <w:p>
      <w:pPr>
        <w:spacing w:after="80" w:line="276" w:lineRule="auto"/>
      </w:pPr>
      <w:r>
        <w:rPr>
          <w:rFonts w:ascii="Arial" w:hAnsi="Arial"/>
          <w:color w:val="282828"/>
          <w:sz w:val="20"/>
        </w:rPr>
        <w:t>Học bổng Kumho Asiana (Tập đoàn Kumho Asiana) Thời gian: • Thời gian mở đơn thường niên: Tháng 10 - Tháng 11 Trị giá: • Giá trị học bổng: Cấp liên tục 4 năm đại học (khoảng 10-15 triệu/năm) Điều kiện xét: • Tiêu chuẩn &amp; Đối tượng:</w:t>
      </w:r>
    </w:p>
    <w:p>
      <w:pPr>
        <w:spacing w:after="80" w:line="276" w:lineRule="auto"/>
      </w:pPr>
      <w:r>
        <w:rPr>
          <w:rFonts w:ascii="Arial" w:hAnsi="Arial"/>
          <w:color w:val="282828"/>
          <w:sz w:val="20"/>
        </w:rPr>
        <w:t>Đối tượng: TÂN SINH VIÊN năm nhất có hoàn cảnh khó khăn nhưng điểm thi đầu vào xuất sắc.</w:t>
      </w:r>
    </w:p>
    <w:p>
      <w:pPr>
        <w:spacing w:after="80" w:line="276" w:lineRule="auto"/>
      </w:pPr>
      <w:r>
        <w:rPr>
          <w:rFonts w:ascii="Arial" w:hAnsi="Arial"/>
          <w:color w:val="282828"/>
          <w:sz w:val="20"/>
        </w:rPr>
        <w:t>Tiêu chuẩn: Duy trì GPA &gt;= 7.5 và ĐRL Tốt qua từng năm để được duy trì học bổng đến khi ra trường.</w:t>
      </w:r>
    </w:p>
    <w:p>
      <w:pPr>
        <w:spacing w:after="80" w:line="276" w:lineRule="auto"/>
      </w:pPr>
      <w:r>
        <w:rPr>
          <w:rFonts w:ascii="Arial" w:hAnsi="Arial"/>
          <w:color w:val="282828"/>
          <w:sz w:val="20"/>
        </w:rPr>
        <w:t>Học bổng Keidanren &amp; Hiệp hội Doanh nghiệp Nhật Bản (JBAH) Thời gian: • Thời gian mở đơn thường niên: Tháng 11 - Tháng 12 Trị giá: • Giá trị học bổng: 300 - 400 USD Điều kiện xét: • Tiêu chuẩn &amp; Đối tượng:</w:t>
      </w:r>
    </w:p>
    <w:p>
      <w:pPr>
        <w:spacing w:after="80" w:line="276" w:lineRule="auto"/>
      </w:pPr>
      <w:r>
        <w:rPr>
          <w:rFonts w:ascii="Arial" w:hAnsi="Arial"/>
          <w:color w:val="282828"/>
          <w:sz w:val="20"/>
        </w:rPr>
        <w:t>Đối tượng: Sinh viên năm 3, 4 có định hướng làm việc trong các doanh nghiệp Nhật Bản.</w:t>
      </w:r>
    </w:p>
    <w:p>
      <w:pPr>
        <w:spacing w:after="80" w:line="276" w:lineRule="auto"/>
      </w:pPr>
      <w:r>
        <w:rPr>
          <w:rFonts w:ascii="Arial" w:hAnsi="Arial"/>
          <w:color w:val="282828"/>
          <w:sz w:val="20"/>
        </w:rPr>
        <w:t>Tiêu chuẩn: GPA &gt;= 7.5, ưu tiên biết tiếng Nhật hoặc tiếng Anh tốt.</w:t>
      </w:r>
    </w:p>
    <w:p>
      <w:pPr>
        <w:spacing w:after="80" w:line="276" w:lineRule="auto"/>
      </w:pPr>
      <w:r>
        <w:rPr>
          <w:rFonts w:ascii="Arial" w:hAnsi="Arial"/>
          <w:color w:val="282828"/>
          <w:sz w:val="20"/>
        </w:rPr>
        <w:t>Học bổng Vingroup (Tập đoàn Vingroup) Thời gian: • Thời gian mở đơn thường niên: Tháng 4 - Tháng 6 Trị giá: • Giá trị học bổng: Toàn phần học phí + sinh hoạt phí (dành cho đào tạo Thạc sĩ/Tiến sĩ KHCN) Điều kiện xét: • Tiêu chuẩn &amp; Đối tượng:</w:t>
      </w:r>
    </w:p>
    <w:p>
      <w:pPr>
        <w:spacing w:after="80" w:line="276" w:lineRule="auto"/>
      </w:pPr>
      <w:r>
        <w:rPr>
          <w:rFonts w:ascii="Arial" w:hAnsi="Arial"/>
          <w:color w:val="282828"/>
          <w:sz w:val="20"/>
        </w:rPr>
        <w:t>Đối tượng: Sinh viên năm cuối chuẩn bị tốt nghiệp loại Giỏi/Xuất sắc ngành STEM tiếp tục học sau đại học.</w:t>
      </w:r>
    </w:p>
    <w:p>
      <w:pPr>
        <w:spacing w:after="80" w:line="276" w:lineRule="auto"/>
      </w:pPr>
      <w:r>
        <w:rPr>
          <w:rFonts w:ascii="Arial" w:hAnsi="Arial"/>
          <w:color w:val="282828"/>
          <w:sz w:val="20"/>
        </w:rPr>
        <w:t>Học bổng Cựu Sinh viên &amp; Khuyến học các Khoa Thời gian: • Thời gian mở đơn thường niên: Quanh năm theo đợt Trị giá: • Giá trị học bổng: 3.000.000 - 10.000.000 VNĐ / suất Điều kiện xét: • Tiêu chuẩn &amp; Đối tượng:</w:t>
      </w:r>
    </w:p>
    <w:p>
      <w:pPr>
        <w:spacing w:after="80" w:line="276" w:lineRule="auto"/>
      </w:pPr>
      <w:r>
        <w:rPr>
          <w:rFonts w:ascii="Arial" w:hAnsi="Arial"/>
          <w:color w:val="282828"/>
          <w:sz w:val="20"/>
        </w:rPr>
        <w:t>Đối tượng: Sinh viên từng Khoa chuyên môn (CNTT, Toán, Hóa, Sinh, Vật lý...) có hoàn cảnh đặc biệt khó khăn.</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Hạng Học Bổng KKHT</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Tiêu Chuẩn Điểm GPA Học Kỳ</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Tiêu Chuẩn Điểm Rèn Luyện</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Mức Tiền Học Bổng Dự Kiến</w:t>
            </w:r>
          </w:p>
        </w:tc>
        <w:tc>
          <w:tcPr>
            <w:tcW w:type="dxa" w:w="1930"/>
            <w:shd w:val="clear" w:color="auto" w:fill="1B365D"/>
            <w:tcMar>
              <w:top w:w="100" w:type="dxa"/>
              <w:bottom w:w="100" w:type="dxa"/>
              <w:left w:w="120" w:type="dxa"/>
              <w:right w:w="120" w:type="dxa"/>
            </w:tcMar>
          </w:tcPr>
          <w:p>
            <w:pPr>
              <w:jc w:val="center"/>
            </w:pPr>
            <w:r>
              <w:rPr>
                <w:rFonts w:ascii="Arial" w:hAnsi="Arial"/>
                <w:b/>
                <w:color w:val="FFFFFF"/>
                <w:sz w:val="19"/>
              </w:rPr>
              <w:t>Điều Kiện Ràng Buộc Bắt Buộc</w:t>
            </w:r>
          </w:p>
        </w:tc>
      </w:tr>
      <w:tr>
        <w:tc>
          <w:tcPr>
            <w:tcW w:type="dxa" w:w="1930"/>
            <w:shd w:val="clear" w:color="auto" w:fill="F2F5F9"/>
            <w:tcMar>
              <w:top w:w="100" w:type="dxa"/>
              <w:bottom w:w="100" w:type="dxa"/>
              <w:left w:w="120" w:type="dxa"/>
              <w:right w:w="120" w:type="dxa"/>
            </w:tcMar>
          </w:tcPr>
          <w:p>
            <w:r>
              <w:rPr>
                <w:rFonts w:ascii="Arial" w:hAnsi="Arial"/>
                <w:sz w:val="19"/>
              </w:rPr>
              <w:t>Xuất sắc</w:t>
            </w:r>
          </w:p>
        </w:tc>
        <w:tc>
          <w:tcPr>
            <w:tcW w:type="dxa" w:w="1930"/>
            <w:shd w:val="clear" w:color="auto" w:fill="F2F5F9"/>
            <w:tcMar>
              <w:top w:w="100" w:type="dxa"/>
              <w:bottom w:w="100" w:type="dxa"/>
              <w:left w:w="120" w:type="dxa"/>
              <w:right w:w="120" w:type="dxa"/>
            </w:tcMar>
          </w:tcPr>
          <w:p>
            <w:r>
              <w:rPr>
                <w:rFonts w:ascii="Arial" w:hAnsi="Arial"/>
                <w:sz w:val="19"/>
              </w:rPr>
              <w:t>GPA &gt;= 9,0 (Thang 10)</w:t>
              <w:br/>
              <w:t>hoặc &gt;= 3,60 (Thang 4)</w:t>
            </w:r>
          </w:p>
        </w:tc>
        <w:tc>
          <w:tcPr>
            <w:tcW w:type="dxa" w:w="1930"/>
            <w:shd w:val="clear" w:color="auto" w:fill="F2F5F9"/>
            <w:tcMar>
              <w:top w:w="100" w:type="dxa"/>
              <w:bottom w:w="100" w:type="dxa"/>
              <w:left w:w="120" w:type="dxa"/>
              <w:right w:w="120" w:type="dxa"/>
            </w:tcMar>
          </w:tcPr>
          <w:p>
            <w:r>
              <w:rPr>
                <w:rFonts w:ascii="Arial" w:hAnsi="Arial"/>
                <w:sz w:val="19"/>
              </w:rPr>
              <w:t>DRL Xuất sắc</w:t>
              <w:br/>
              <w:t>(Từ 90 đến 100 điểm)</w:t>
            </w:r>
          </w:p>
        </w:tc>
        <w:tc>
          <w:tcPr>
            <w:tcW w:type="dxa" w:w="1930"/>
            <w:shd w:val="clear" w:color="auto" w:fill="F2F5F9"/>
            <w:tcMar>
              <w:top w:w="100" w:type="dxa"/>
              <w:bottom w:w="100" w:type="dxa"/>
              <w:left w:w="120" w:type="dxa"/>
              <w:right w:w="120" w:type="dxa"/>
            </w:tcMar>
          </w:tcPr>
          <w:p>
            <w:r>
              <w:rPr>
                <w:rFonts w:ascii="Arial" w:hAnsi="Arial"/>
                <w:sz w:val="19"/>
              </w:rPr>
              <w:t>&gt;= 120% mức học phí sinh viên phải đóng trong kỳ</w:t>
            </w:r>
          </w:p>
        </w:tc>
        <w:tc>
          <w:tcPr>
            <w:tcW w:type="dxa" w:w="1930"/>
            <w:shd w:val="clear" w:color="auto" w:fill="F2F5F9"/>
            <w:tcMar>
              <w:top w:w="100" w:type="dxa"/>
              <w:bottom w:w="100" w:type="dxa"/>
              <w:left w:w="120" w:type="dxa"/>
              <w:right w:w="120" w:type="dxa"/>
            </w:tcMar>
          </w:tcPr>
          <w:p>
            <w:r>
              <w:rPr>
                <w:rFonts w:ascii="Arial" w:hAnsi="Arial"/>
                <w:sz w:val="19"/>
              </w:rPr>
              <w:t>• Không có môn rớt (điểm &lt; 5.0) trong kỳ</w:t>
              <w:br/>
              <w:t>• Không tính điểm cải thiện</w:t>
              <w:br/>
              <w:t>• Hoàn thành học phí đúng hạn</w:t>
              <w:br/>
              <w:t>• Không bị kỷ luật từ khiển trách trở lên</w:t>
            </w:r>
          </w:p>
        </w:tc>
      </w:tr>
      <w:tr>
        <w:tc>
          <w:tcPr>
            <w:tcW w:type="dxa" w:w="1930"/>
            <w:tcMar>
              <w:top w:w="100" w:type="dxa"/>
              <w:bottom w:w="100" w:type="dxa"/>
              <w:left w:w="120" w:type="dxa"/>
              <w:right w:w="120" w:type="dxa"/>
            </w:tcMar>
          </w:tcPr>
          <w:p>
            <w:r>
              <w:rPr>
                <w:rFonts w:ascii="Arial" w:hAnsi="Arial"/>
                <w:sz w:val="19"/>
              </w:rPr>
              <w:t>Giỏi</w:t>
            </w:r>
          </w:p>
        </w:tc>
        <w:tc>
          <w:tcPr>
            <w:tcW w:type="dxa" w:w="1930"/>
            <w:tcMar>
              <w:top w:w="100" w:type="dxa"/>
              <w:bottom w:w="100" w:type="dxa"/>
              <w:left w:w="120" w:type="dxa"/>
              <w:right w:w="120" w:type="dxa"/>
            </w:tcMar>
          </w:tcPr>
          <w:p>
            <w:r>
              <w:rPr>
                <w:rFonts w:ascii="Arial" w:hAnsi="Arial"/>
                <w:sz w:val="19"/>
              </w:rPr>
              <w:t>GPA &gt;= 8,0 đến &lt; 9,0</w:t>
              <w:br/>
              <w:t>hoặc 3,20 đến &lt; 3,60</w:t>
            </w:r>
          </w:p>
        </w:tc>
        <w:tc>
          <w:tcPr>
            <w:tcW w:type="dxa" w:w="1930"/>
            <w:tcMar>
              <w:top w:w="100" w:type="dxa"/>
              <w:bottom w:w="100" w:type="dxa"/>
              <w:left w:w="120" w:type="dxa"/>
              <w:right w:w="120" w:type="dxa"/>
            </w:tcMar>
          </w:tcPr>
          <w:p>
            <w:r>
              <w:rPr>
                <w:rFonts w:ascii="Arial" w:hAnsi="Arial"/>
                <w:sz w:val="19"/>
              </w:rPr>
              <w:t>DRL Tốt trở lên</w:t>
              <w:br/>
              <w:t>(Từ 80 đến 89 điểm)</w:t>
            </w:r>
          </w:p>
        </w:tc>
        <w:tc>
          <w:tcPr>
            <w:tcW w:type="dxa" w:w="1930"/>
            <w:tcMar>
              <w:top w:w="100" w:type="dxa"/>
              <w:bottom w:w="100" w:type="dxa"/>
              <w:left w:w="120" w:type="dxa"/>
              <w:right w:w="120" w:type="dxa"/>
            </w:tcMar>
          </w:tcPr>
          <w:p>
            <w:r>
              <w:rPr>
                <w:rFonts w:ascii="Arial" w:hAnsi="Arial"/>
                <w:sz w:val="19"/>
              </w:rPr>
              <w:t>100% mức học phí sinh viên phải đóng trong kỳ</w:t>
            </w:r>
          </w:p>
        </w:tc>
        <w:tc>
          <w:tcPr>
            <w:tcW w:type="dxa" w:w="1930"/>
            <w:tcMar>
              <w:top w:w="100" w:type="dxa"/>
              <w:bottom w:w="100" w:type="dxa"/>
              <w:left w:w="120" w:type="dxa"/>
              <w:right w:w="120" w:type="dxa"/>
            </w:tcMar>
          </w:tcPr>
          <w:p>
            <w:r>
              <w:rPr>
                <w:rFonts w:ascii="Arial" w:hAnsi="Arial"/>
                <w:sz w:val="19"/>
              </w:rPr>
              <w:t>• Tích lũy đủ số TC tối thiểu kỳ chính (14 TC)</w:t>
              <w:br/>
              <w:t>• Điểm xét là điểm thi lần 1</w:t>
              <w:br/>
              <w:t>• Xét từ cao xuống thấp đến hết quỹ</w:t>
            </w:r>
          </w:p>
        </w:tc>
      </w:tr>
      <w:tr>
        <w:tc>
          <w:tcPr>
            <w:tcW w:type="dxa" w:w="1930"/>
            <w:shd w:val="clear" w:color="auto" w:fill="F2F5F9"/>
            <w:tcMar>
              <w:top w:w="100" w:type="dxa"/>
              <w:bottom w:w="100" w:type="dxa"/>
              <w:left w:w="120" w:type="dxa"/>
              <w:right w:w="120" w:type="dxa"/>
            </w:tcMar>
          </w:tcPr>
          <w:p>
            <w:r>
              <w:rPr>
                <w:rFonts w:ascii="Arial" w:hAnsi="Arial"/>
                <w:sz w:val="19"/>
              </w:rPr>
              <w:t>Khá</w:t>
            </w:r>
          </w:p>
        </w:tc>
        <w:tc>
          <w:tcPr>
            <w:tcW w:type="dxa" w:w="1930"/>
            <w:shd w:val="clear" w:color="auto" w:fill="F2F5F9"/>
            <w:tcMar>
              <w:top w:w="100" w:type="dxa"/>
              <w:bottom w:w="100" w:type="dxa"/>
              <w:left w:w="120" w:type="dxa"/>
              <w:right w:w="120" w:type="dxa"/>
            </w:tcMar>
          </w:tcPr>
          <w:p>
            <w:r>
              <w:rPr>
                <w:rFonts w:ascii="Arial" w:hAnsi="Arial"/>
                <w:sz w:val="19"/>
              </w:rPr>
              <w:t>GPA &gt;= 7,0 đến &lt; 8,0</w:t>
              <w:br/>
              <w:t>hoặc 2,80 đến &lt; 3,20</w:t>
            </w:r>
          </w:p>
        </w:tc>
        <w:tc>
          <w:tcPr>
            <w:tcW w:type="dxa" w:w="1930"/>
            <w:shd w:val="clear" w:color="auto" w:fill="F2F5F9"/>
            <w:tcMar>
              <w:top w:w="100" w:type="dxa"/>
              <w:bottom w:w="100" w:type="dxa"/>
              <w:left w:w="120" w:type="dxa"/>
              <w:right w:w="120" w:type="dxa"/>
            </w:tcMar>
          </w:tcPr>
          <w:p>
            <w:r>
              <w:rPr>
                <w:rFonts w:ascii="Arial" w:hAnsi="Arial"/>
                <w:sz w:val="19"/>
              </w:rPr>
              <w:t>DRL Khá trở lên</w:t>
              <w:br/>
              <w:t>(Từ 65 đến 79 điểm)</w:t>
            </w:r>
          </w:p>
        </w:tc>
        <w:tc>
          <w:tcPr>
            <w:tcW w:type="dxa" w:w="1930"/>
            <w:shd w:val="clear" w:color="auto" w:fill="F2F5F9"/>
            <w:tcMar>
              <w:top w:w="100" w:type="dxa"/>
              <w:bottom w:w="100" w:type="dxa"/>
              <w:left w:w="120" w:type="dxa"/>
              <w:right w:w="120" w:type="dxa"/>
            </w:tcMar>
          </w:tcPr>
          <w:p>
            <w:r>
              <w:rPr>
                <w:rFonts w:ascii="Arial" w:hAnsi="Arial"/>
                <w:sz w:val="19"/>
              </w:rPr>
              <w:t>Theo quy định quỹ học bổng (thường bằng hoặc thấp hơn học phí)</w:t>
            </w:r>
          </w:p>
        </w:tc>
        <w:tc>
          <w:tcPr>
            <w:tcW w:type="dxa" w:w="1930"/>
            <w:shd w:val="clear" w:color="auto" w:fill="F2F5F9"/>
            <w:tcMar>
              <w:top w:w="100" w:type="dxa"/>
              <w:bottom w:w="100" w:type="dxa"/>
              <w:left w:w="120" w:type="dxa"/>
              <w:right w:w="120" w:type="dxa"/>
            </w:tcMar>
          </w:tcPr>
          <w:p>
            <w:r>
              <w:rPr>
                <w:rFonts w:ascii="Arial" w:hAnsi="Arial"/>
                <w:sz w:val="19"/>
              </w:rPr>
              <w:t>• Không nợ học phí</w:t>
              <w:br/>
              <w:t>• Xét theo chỉ tiêu phân bổ từng ngành</w:t>
            </w:r>
          </w:p>
        </w:tc>
      </w:tr>
    </w:tbl>
    <w:p/>
    <w:p>
      <w:pPr>
        <w:spacing w:before="200" w:after="80"/>
      </w:pPr>
      <w:r>
        <w:rPr>
          <w:rFonts w:ascii="Arial" w:hAnsi="Arial"/>
          <w:b/>
          <w:color w:val="003366"/>
          <w:sz w:val="25"/>
        </w:rPr>
        <w:t>PHẦN 3: NGUYÊN VĂN QUY ĐỊNH MIỄN GIẢM HỌC PHÍ (TRANG 168 - 170 STSV, NĐ 81/2021)</w:t>
      </w:r>
    </w:p>
    <w:p>
      <w:pPr>
        <w:spacing w:before="120" w:after="40"/>
      </w:pPr>
      <w:r>
        <w:rPr>
          <w:rFonts w:ascii="Arial" w:hAnsi="Arial"/>
          <w:b/>
          <w:color w:val="1E4678"/>
          <w:sz w:val="22"/>
        </w:rPr>
        <w:t>THÔNG TIN MIỄN GIẢM HỌC PHÍ</w:t>
      </w:r>
    </w:p>
    <w:p>
      <w:pPr>
        <w:spacing w:after="80" w:line="276" w:lineRule="auto"/>
      </w:pPr>
      <w:r>
        <w:rPr>
          <w:rFonts w:ascii="Arial" w:hAnsi="Arial"/>
          <w:color w:val="282828"/>
          <w:sz w:val="20"/>
        </w:rPr>
        <w:t>Căn cứ Nghị định 81/2021/NĐ-CP ngày 27/8/2021 của Chính phủ quy định về cơ chế thu, quản lý học phí đối với cơ sở giáo dục thuộc hệ thống giáo dục quốc dân và chính sách miễn, giảm học phí, hỗ trợ chi phí học tập; giá dịch vụ trong lĩnh vực giáo dục, đào tạo I. Đối tượng được miễn 100% học phí:</w:t>
      </w:r>
    </w:p>
    <w:p>
      <w:pPr>
        <w:spacing w:after="80" w:line="276" w:lineRule="auto"/>
      </w:pPr>
      <w:r>
        <w:rPr>
          <w:rFonts w:ascii="Arial" w:hAnsi="Arial"/>
          <w:color w:val="282828"/>
          <w:sz w:val="20"/>
        </w:rPr>
        <w:t>1. Các đối tượng theo quy định tại Pháp lệnh Ưu đãi người có công với cách mạng nếu đang theo học tại các cơ sở giáo dục thuộc hệ thống giáo dục quốc dân.</w:t>
      </w:r>
    </w:p>
    <w:p>
      <w:pPr>
        <w:spacing w:after="80" w:line="276" w:lineRule="auto"/>
      </w:pPr>
      <w:r>
        <w:rPr>
          <w:rFonts w:ascii="Arial" w:hAnsi="Arial"/>
          <w:color w:val="282828"/>
          <w:sz w:val="20"/>
        </w:rPr>
        <w:t>2. Sinh viên khuyết tật.</w:t>
      </w:r>
    </w:p>
    <w:p>
      <w:pPr>
        <w:spacing w:after="80" w:line="276" w:lineRule="auto"/>
      </w:pPr>
      <w:r>
        <w:rPr>
          <w:rFonts w:ascii="Arial" w:hAnsi="Arial"/>
          <w:color w:val="282828"/>
          <w:sz w:val="20"/>
        </w:rPr>
        <w:t>3. Sinh viên từ 16 tuổi đến 22 tuổi đang học giáo dục đại học văn bằng thứ nhất thuộc đối tượng hưởng trợ cấp xã hội hàng tháng theo quy định tại khoản 1 và khoản 2 Điều 5 Nghị định số 20/2021/NĐ-CP ngày 15 tháng 3 năm 2021 của Chính phủ về chính sách trợ giúp xã hội đối với đối tượng bảo trợ xã hội.</w:t>
      </w:r>
    </w:p>
    <w:p>
      <w:pPr>
        <w:spacing w:after="80" w:line="276" w:lineRule="auto"/>
      </w:pPr>
      <w:r>
        <w:rPr>
          <w:rFonts w:ascii="Arial" w:hAnsi="Arial"/>
          <w:color w:val="282828"/>
          <w:sz w:val="20"/>
        </w:rPr>
        <w:t>4. SV là người dân tộc thiểu số thuộc hộ nghèo hoặc hộ cận nghèo.</w:t>
      </w:r>
    </w:p>
    <w:p>
      <w:pPr>
        <w:spacing w:after="80" w:line="276" w:lineRule="auto"/>
      </w:pPr>
      <w:r>
        <w:rPr>
          <w:rFonts w:ascii="Arial" w:hAnsi="Arial"/>
          <w:color w:val="282828"/>
          <w:sz w:val="20"/>
        </w:rPr>
        <w:t>5. Sinh viên người dân tộc thiểu số rất ít người quy định tại khoản 1 Điều 2 Nghị định số 57/2017/NĐ-CP ngày 09 tháng 5 năm 2017 của Chính phủ quy định chính sách ưu tiên tuyển sinh và hỗ trợ học tập đối với trẻ mẫu giáo, học sinh, sinh viên dân tộc thiểu số rất ít người ở vùng có điều kiện kinh tế - xã hội khó khăn hoặc đặc biệt khó khăn theo quy định hiện hành của cơ quan có thẩm quyền.</w:t>
      </w:r>
    </w:p>
    <w:p>
      <w:pPr>
        <w:spacing w:after="80" w:line="276" w:lineRule="auto"/>
      </w:pPr>
      <w:r>
        <w:rPr>
          <w:rFonts w:ascii="Arial" w:hAnsi="Arial"/>
          <w:color w:val="282828"/>
          <w:sz w:val="20"/>
        </w:rPr>
        <w:t>II. Đối tượng được giảm 70% học phí:</w:t>
      </w:r>
    </w:p>
    <w:p>
      <w:pPr>
        <w:spacing w:after="80" w:line="276" w:lineRule="auto"/>
      </w:pPr>
      <w:r>
        <w:rPr>
          <w:rFonts w:ascii="Arial" w:hAnsi="Arial"/>
          <w:color w:val="282828"/>
          <w:sz w:val="20"/>
        </w:rPr>
        <w:t>Sinh viên là người dân tộc thiểu số (ngoài đối tượng dân tộc thiểu số rất ít người) ở thôn/bản đặc biệt khó khăn, xã khu vực III vùng dân tộc và miền núi, xã đặc biệt khó khăn vùng bãi ngang ven biển hải đảo theo quy định của cơ quan có thẩm quyền.</w:t>
      </w:r>
    </w:p>
    <w:p>
      <w:pPr>
        <w:spacing w:after="80" w:line="276" w:lineRule="auto"/>
      </w:pPr>
      <w:r>
        <w:rPr>
          <w:rFonts w:ascii="Arial" w:hAnsi="Arial"/>
          <w:color w:val="282828"/>
          <w:sz w:val="20"/>
        </w:rPr>
        <w:t>III. Đối tượng được giảm 50% học phí:</w:t>
      </w:r>
    </w:p>
    <w:p>
      <w:pPr>
        <w:spacing w:after="80" w:line="276" w:lineRule="auto"/>
      </w:pPr>
      <w:r>
        <w:rPr>
          <w:rFonts w:ascii="Arial" w:hAnsi="Arial"/>
          <w:color w:val="282828"/>
          <w:sz w:val="20"/>
        </w:rPr>
        <w:t>Sinh viên là con cán bộ, công chức, viên chức, công nhân mà cha hoặc mẹ bị tai nạn lao động hoặc mắc bệnh nghề nghiệp được hưởng trợ cấp thường xuyên.</w:t>
      </w:r>
    </w:p>
    <w:p>
      <w:pPr>
        <w:spacing w:after="80" w:line="276" w:lineRule="auto"/>
      </w:pPr>
      <w:r>
        <w:rPr>
          <w:rFonts w:ascii="Arial" w:hAnsi="Arial"/>
          <w:color w:val="282828"/>
          <w:sz w:val="20"/>
        </w:rPr>
        <w:t>IV. Thủ tục, hồ sơ:</w:t>
      </w:r>
    </w:p>
    <w:p>
      <w:pPr>
        <w:spacing w:after="80" w:line="276" w:lineRule="auto"/>
      </w:pPr>
      <w:r>
        <w:rPr>
          <w:rFonts w:ascii="Arial" w:hAnsi="Arial"/>
          <w:color w:val="282828"/>
          <w:sz w:val="20"/>
        </w:rPr>
        <w:t>Sinh viên xem thông tin hồ sơ quy định đối với từng đối tượng tại website https://hcmus.edu.vn/phong-cong-tac-sinh-vien/ (Mục Thông báo miễn giảm)</w:t>
      </w:r>
    </w:p>
    <w:p>
      <w:pPr>
        <w:spacing w:before="120" w:after="40"/>
      </w:pPr>
      <w:r>
        <w:rPr>
          <w:rFonts w:ascii="Arial" w:hAnsi="Arial"/>
          <w:b/>
          <w:color w:val="1E4678"/>
          <w:sz w:val="22"/>
        </w:rPr>
        <w:t>THÔNG TIN TRỢ CẤP XÃ HỘI</w:t>
      </w:r>
    </w:p>
    <w:p>
      <w:pPr>
        <w:spacing w:after="80" w:line="276" w:lineRule="auto"/>
      </w:pPr>
      <w:r>
        <w:rPr>
          <w:rFonts w:ascii="Arial" w:hAnsi="Arial"/>
          <w:color w:val="282828"/>
          <w:sz w:val="20"/>
        </w:rPr>
        <w:t>1. Đối tượng được trợ cấp 100.000đ/tháng:</w:t>
      </w:r>
    </w:p>
    <w:p>
      <w:pPr>
        <w:spacing w:after="80" w:line="276" w:lineRule="auto"/>
      </w:pPr>
      <w:r>
        <w:rPr>
          <w:rFonts w:ascii="Arial" w:hAnsi="Arial"/>
          <w:color w:val="282828"/>
          <w:sz w:val="20"/>
        </w:rPr>
        <w:t>a. Sinh viên mồ côi cả cha lẫn mẹ, không nơi nương tựa.</w:t>
      </w:r>
    </w:p>
    <w:p>
      <w:pPr>
        <w:spacing w:after="80" w:line="276" w:lineRule="auto"/>
      </w:pPr>
      <w:r>
        <w:rPr>
          <w:rFonts w:ascii="Arial" w:hAnsi="Arial"/>
          <w:color w:val="282828"/>
          <w:sz w:val="20"/>
        </w:rPr>
        <w:t>b. Sinh viên khuyết tật từ 41% trở lên và có khó khăn về kinh tế.</w:t>
      </w:r>
    </w:p>
    <w:p>
      <w:pPr>
        <w:spacing w:after="80" w:line="276" w:lineRule="auto"/>
      </w:pPr>
      <w:r>
        <w:rPr>
          <w:rFonts w:ascii="Arial" w:hAnsi="Arial"/>
          <w:color w:val="282828"/>
          <w:sz w:val="20"/>
        </w:rPr>
        <w:t>c. Sinh viên thuộc diện hộ nghèo/hộ cận nghèo vượt khó học tập:</w:t>
      </w:r>
    </w:p>
    <w:p>
      <w:pPr>
        <w:spacing w:after="80" w:line="276" w:lineRule="auto"/>
      </w:pPr>
      <w:r>
        <w:rPr>
          <w:rFonts w:ascii="Arial" w:hAnsi="Arial"/>
          <w:color w:val="282828"/>
          <w:sz w:val="20"/>
        </w:rPr>
        <w:t>● Sinh viên năm 1: ĐTB từ Khá trở lên, không chịu bất kỳ hình thức kỷ luật nào.</w:t>
      </w:r>
    </w:p>
    <w:p>
      <w:pPr>
        <w:spacing w:after="80" w:line="276" w:lineRule="auto"/>
      </w:pPr>
      <w:r>
        <w:rPr>
          <w:rFonts w:ascii="Arial" w:hAnsi="Arial"/>
          <w:color w:val="282828"/>
          <w:sz w:val="20"/>
        </w:rPr>
        <w:t>● Sinh viên năm 2 trở lên: ĐTB và ĐRL từ Khá trở lên.</w:t>
      </w:r>
    </w:p>
    <w:p>
      <w:pPr>
        <w:spacing w:after="80" w:line="276" w:lineRule="auto"/>
      </w:pPr>
      <w:r>
        <w:rPr>
          <w:rFonts w:ascii="Arial" w:hAnsi="Arial"/>
          <w:color w:val="282828"/>
          <w:sz w:val="20"/>
        </w:rPr>
        <w:t>2. Đối tượng được trợ cấp 140.000đ/tháng:</w:t>
      </w:r>
    </w:p>
    <w:p>
      <w:pPr>
        <w:spacing w:after="80" w:line="276" w:lineRule="auto"/>
      </w:pPr>
      <w:r>
        <w:rPr>
          <w:rFonts w:ascii="Arial" w:hAnsi="Arial"/>
          <w:color w:val="282828"/>
          <w:sz w:val="20"/>
        </w:rPr>
        <w:t>Sinh viên là người dân tộc ít người thường trú trên 03 năm tại vùng cao.</w:t>
      </w:r>
    </w:p>
    <w:p>
      <w:pPr>
        <w:spacing w:after="80" w:line="276" w:lineRule="auto"/>
      </w:pPr>
      <w:r>
        <w:rPr>
          <w:rFonts w:ascii="Arial" w:hAnsi="Arial"/>
          <w:color w:val="282828"/>
          <w:sz w:val="20"/>
        </w:rPr>
        <w:t>3. Thủ tục, hồ sơ:</w:t>
      </w:r>
    </w:p>
    <w:p>
      <w:pPr>
        <w:spacing w:after="80" w:line="276" w:lineRule="auto"/>
      </w:pPr>
      <w:r>
        <w:rPr>
          <w:rFonts w:ascii="Arial" w:hAnsi="Arial"/>
          <w:color w:val="282828"/>
          <w:sz w:val="20"/>
        </w:rPr>
        <w:t>Sinh viên xem thông tin hồ sơ quy định đối với từng đối tượng tại website https://hcmus.edu.vn/phong-cong-tac-sinh-vien/ (Mục Thông báo miễn giảm)</w:t>
      </w:r>
    </w:p>
    <w:p>
      <w:pPr>
        <w:spacing w:before="200" w:after="80"/>
      </w:pPr>
      <w:r>
        <w:rPr>
          <w:rFonts w:ascii="Arial" w:hAnsi="Arial"/>
          <w:b/>
          <w:color w:val="003366"/>
          <w:sz w:val="25"/>
        </w:rPr>
        <w:t>PHẦN 4: NGUYÊN VĂN TRỢ CẤP XÃ HỘI, CHÍNH SÁCH DTTS &amp; KHUYẾT TẬT (TRANG 170 - 173)</w:t>
      </w:r>
    </w:p>
    <w:p>
      <w:pPr>
        <w:spacing w:before="120" w:after="40"/>
      </w:pPr>
      <w:r>
        <w:rPr>
          <w:rFonts w:ascii="Arial" w:hAnsi="Arial"/>
          <w:b/>
          <w:color w:val="1E4678"/>
          <w:sz w:val="22"/>
        </w:rPr>
        <w:t>THÔNG TIN TRỢ CẤP XÃ HỘI</w:t>
      </w:r>
    </w:p>
    <w:p>
      <w:pPr>
        <w:spacing w:after="80" w:line="276" w:lineRule="auto"/>
      </w:pPr>
      <w:r>
        <w:rPr>
          <w:rFonts w:ascii="Arial" w:hAnsi="Arial"/>
          <w:color w:val="282828"/>
          <w:sz w:val="20"/>
        </w:rPr>
        <w:t>1. Đối tượng được trợ cấp 100.000đ/tháng:</w:t>
      </w:r>
    </w:p>
    <w:p>
      <w:pPr>
        <w:spacing w:after="80" w:line="276" w:lineRule="auto"/>
      </w:pPr>
      <w:r>
        <w:rPr>
          <w:rFonts w:ascii="Arial" w:hAnsi="Arial"/>
          <w:color w:val="282828"/>
          <w:sz w:val="20"/>
        </w:rPr>
        <w:t>a. Sinh viên mồ côi cả cha lẫn mẹ, không nơi nương tựa.</w:t>
      </w:r>
    </w:p>
    <w:p>
      <w:pPr>
        <w:spacing w:after="80" w:line="276" w:lineRule="auto"/>
      </w:pPr>
      <w:r>
        <w:rPr>
          <w:rFonts w:ascii="Arial" w:hAnsi="Arial"/>
          <w:color w:val="282828"/>
          <w:sz w:val="20"/>
        </w:rPr>
        <w:t>b. Sinh viên khuyết tật từ 41% trở lên và có khó khăn về kinh tế.</w:t>
      </w:r>
    </w:p>
    <w:p>
      <w:pPr>
        <w:spacing w:after="80" w:line="276" w:lineRule="auto"/>
      </w:pPr>
      <w:r>
        <w:rPr>
          <w:rFonts w:ascii="Arial" w:hAnsi="Arial"/>
          <w:color w:val="282828"/>
          <w:sz w:val="20"/>
        </w:rPr>
        <w:t>c. Sinh viên thuộc diện hộ nghèo/hộ cận nghèo vượt khó học tập:</w:t>
      </w:r>
    </w:p>
    <w:p>
      <w:pPr>
        <w:spacing w:after="80" w:line="276" w:lineRule="auto"/>
      </w:pPr>
      <w:r>
        <w:rPr>
          <w:rFonts w:ascii="Arial" w:hAnsi="Arial"/>
          <w:color w:val="282828"/>
          <w:sz w:val="20"/>
        </w:rPr>
        <w:t>● Sinh viên năm 1: ĐTB từ Khá trở lên, không chịu bất kỳ hình thức kỷ luật nào.</w:t>
      </w:r>
    </w:p>
    <w:p>
      <w:pPr>
        <w:spacing w:after="80" w:line="276" w:lineRule="auto"/>
      </w:pPr>
      <w:r>
        <w:rPr>
          <w:rFonts w:ascii="Arial" w:hAnsi="Arial"/>
          <w:color w:val="282828"/>
          <w:sz w:val="20"/>
        </w:rPr>
        <w:t>● Sinh viên năm 2 trở lên: ĐTB và ĐRL từ Khá trở lên.</w:t>
      </w:r>
    </w:p>
    <w:p>
      <w:pPr>
        <w:spacing w:after="80" w:line="276" w:lineRule="auto"/>
      </w:pPr>
      <w:r>
        <w:rPr>
          <w:rFonts w:ascii="Arial" w:hAnsi="Arial"/>
          <w:color w:val="282828"/>
          <w:sz w:val="20"/>
        </w:rPr>
        <w:t>2. Đối tượng được trợ cấp 140.000đ/tháng:</w:t>
      </w:r>
    </w:p>
    <w:p>
      <w:pPr>
        <w:spacing w:after="80" w:line="276" w:lineRule="auto"/>
      </w:pPr>
      <w:r>
        <w:rPr>
          <w:rFonts w:ascii="Arial" w:hAnsi="Arial"/>
          <w:color w:val="282828"/>
          <w:sz w:val="20"/>
        </w:rPr>
        <w:t>Sinh viên là người dân tộc ít người thường trú trên 03 năm tại vùng cao.</w:t>
      </w:r>
    </w:p>
    <w:p>
      <w:pPr>
        <w:spacing w:after="80" w:line="276" w:lineRule="auto"/>
      </w:pPr>
      <w:r>
        <w:rPr>
          <w:rFonts w:ascii="Arial" w:hAnsi="Arial"/>
          <w:color w:val="282828"/>
          <w:sz w:val="20"/>
        </w:rPr>
        <w:t>3. Thủ tục, hồ sơ:</w:t>
      </w:r>
    </w:p>
    <w:p>
      <w:pPr>
        <w:spacing w:after="80" w:line="276" w:lineRule="auto"/>
      </w:pPr>
      <w:r>
        <w:rPr>
          <w:rFonts w:ascii="Arial" w:hAnsi="Arial"/>
          <w:color w:val="282828"/>
          <w:sz w:val="20"/>
        </w:rPr>
        <w:t>Sinh viên xem thông tin hồ sơ quy định đối với từng đối tượng tại website https://hcmus.edu.vn/phong-cong-tac-sinh-vien/ (Mục Thông báo miễn giảm)</w:t>
      </w:r>
    </w:p>
    <w:p>
      <w:pPr>
        <w:spacing w:before="120" w:after="40"/>
      </w:pPr>
      <w:r>
        <w:rPr>
          <w:rFonts w:ascii="Arial" w:hAnsi="Arial"/>
          <w:b/>
          <w:color w:val="1E4678"/>
          <w:sz w:val="22"/>
        </w:rPr>
        <w:t>CHÍNH SÁCH SINH VIÊN DÂN TỘC THIỂU SỐ</w:t>
      </w:r>
    </w:p>
    <w:p>
      <w:pPr>
        <w:spacing w:after="80" w:line="276" w:lineRule="auto"/>
      </w:pPr>
      <w:r>
        <w:rPr>
          <w:rFonts w:ascii="Arial" w:hAnsi="Arial"/>
          <w:color w:val="282828"/>
          <w:sz w:val="20"/>
        </w:rPr>
        <w:t>Căn cứ Thông tư liên tịch số 35/2014/TTLT-BGDĐT-BTC ngày 15/10/2014 của Liên Bộ Giáo dục và Đào tạo, Bộ Tài chính về việc hướng dẫn thực hiện quyết định số 66/2013/QĐ-TTg ngày 11/11/2013 của Thủ tướng Chính phủ Quy định chính sách hỗ trợ chi phí học tập đối với sinh viên là người dân tộc thiểu số học tại các cơ sở giáo dục đại học (có hiệu lực từ ngày 28/11/2014)</w:t>
      </w:r>
    </w:p>
    <w:p>
      <w:pPr>
        <w:spacing w:after="80" w:line="276" w:lineRule="auto"/>
      </w:pPr>
      <w:r>
        <w:rPr>
          <w:rFonts w:ascii="Arial" w:hAnsi="Arial"/>
          <w:color w:val="282828"/>
          <w:sz w:val="20"/>
        </w:rPr>
        <w:t>1. Đối tượng:</w:t>
      </w:r>
    </w:p>
    <w:p>
      <w:pPr>
        <w:spacing w:after="80" w:line="276" w:lineRule="auto"/>
      </w:pPr>
      <w:r>
        <w:rPr>
          <w:rFonts w:ascii="Arial" w:hAnsi="Arial"/>
          <w:color w:val="282828"/>
          <w:sz w:val="20"/>
        </w:rPr>
        <w:t>● Sinh viên hệ chính quy là người dân tộc thiểu số thuộc hộ nghèo, hộ cận nghèo.</w:t>
      </w:r>
    </w:p>
    <w:p>
      <w:pPr>
        <w:spacing w:after="80" w:line="276" w:lineRule="auto"/>
      </w:pPr>
      <w:r>
        <w:rPr>
          <w:rFonts w:ascii="Arial" w:hAnsi="Arial"/>
          <w:color w:val="282828"/>
          <w:sz w:val="20"/>
        </w:rPr>
        <w:t>● Không áp dụng đối với sinh viên cử tuyển, các đối tượng chính sách được xét tuyển vào học đại học, cao đẳng sau khi hoàn thành chương trình dự bị đại học.</w:t>
      </w:r>
    </w:p>
    <w:p>
      <w:pPr>
        <w:spacing w:after="80" w:line="276" w:lineRule="auto"/>
      </w:pPr>
      <w:r>
        <w:rPr>
          <w:rFonts w:ascii="Arial" w:hAnsi="Arial"/>
          <w:color w:val="282828"/>
          <w:sz w:val="20"/>
        </w:rPr>
        <w:t>2. Mức hỗ trợ: được hỗ trợ chi phí học tập bằng 60% mức lương cơ sở và được cấp 10 tháng/năm học; số năm được hưởng hỗ trợ chi phí học tập theo thời gian đào tạo chính thức.</w:t>
      </w:r>
    </w:p>
    <w:p>
      <w:pPr>
        <w:spacing w:after="80" w:line="276" w:lineRule="auto"/>
      </w:pPr>
      <w:r>
        <w:rPr>
          <w:rFonts w:ascii="Arial" w:hAnsi="Arial"/>
          <w:color w:val="282828"/>
          <w:sz w:val="20"/>
        </w:rPr>
        <w:t>3. Thủ tục hồ sơ (nộp 01 bộ hồ sơ khác với hồ sơ MGHP): Sinh viên xem thông tin hồ sơ quy định tại https://hcmus.edu.vn/phong-cong-tac-sinh- vien/ (Mục Thông báo miễn giảm).</w:t>
      </w:r>
    </w:p>
    <w:p>
      <w:pPr>
        <w:spacing w:before="120" w:after="40"/>
      </w:pPr>
      <w:r>
        <w:rPr>
          <w:rFonts w:ascii="Arial" w:hAnsi="Arial"/>
          <w:b/>
          <w:color w:val="1E4678"/>
          <w:sz w:val="22"/>
        </w:rPr>
        <w:t>CHÍNH SÁCH SINH VIÊN DÂN TỘC THIỂU SỐ RẤT ÍT NGƯỜI</w:t>
      </w:r>
    </w:p>
    <w:p>
      <w:pPr>
        <w:spacing w:after="80" w:line="276" w:lineRule="auto"/>
      </w:pPr>
      <w:r>
        <w:rPr>
          <w:rFonts w:ascii="Arial" w:hAnsi="Arial"/>
          <w:color w:val="282828"/>
          <w:sz w:val="20"/>
        </w:rPr>
        <w:t>Căn cứ Nghị định số 57/2017/NĐ-CP ngày 09/05/2017 của Thủ tướng Chính phủ về việc quy định chính sách ưu tiên tuyển sinh và hỗ trợ học tập đối với trẻ mẫu giáo, học sinh, sinh viên dân tộc thiểu số rất ít người.</w:t>
      </w:r>
    </w:p>
    <w:p>
      <w:pPr>
        <w:spacing w:after="80" w:line="276" w:lineRule="auto"/>
      </w:pPr>
      <w:r>
        <w:rPr>
          <w:rFonts w:ascii="Arial" w:hAnsi="Arial"/>
          <w:color w:val="282828"/>
          <w:sz w:val="20"/>
        </w:rPr>
        <w:t>1. Đối tượng: Sinh viên hệ chính quy là người dân tộc thiểu số rất ít người (Cống, Mảng, Pu Péo, Si La, Cờ Lao, Bố Y, La Ha, Ngái, Chứt, Ơ Đu, Brâu, Rơ Măm, Lô Lô, Lự, Pà Thẻn, La Hủ).</w:t>
      </w:r>
    </w:p>
    <w:p>
      <w:pPr>
        <w:spacing w:after="80" w:line="276" w:lineRule="auto"/>
      </w:pPr>
      <w:r>
        <w:rPr>
          <w:rFonts w:ascii="Arial" w:hAnsi="Arial"/>
          <w:color w:val="282828"/>
          <w:sz w:val="20"/>
        </w:rPr>
        <w:t>2. Mức hỗ trợ: Được hỗ trợ chi phí học tập bằng 100% mức lương cơ sở và được cấp 12 tháng/năm học.</w:t>
      </w:r>
    </w:p>
    <w:p>
      <w:pPr>
        <w:spacing w:after="80" w:line="276" w:lineRule="auto"/>
      </w:pPr>
      <w:r>
        <w:rPr>
          <w:rFonts w:ascii="Arial" w:hAnsi="Arial"/>
          <w:color w:val="282828"/>
          <w:sz w:val="20"/>
        </w:rPr>
        <w:t>3. Thủ tục hồ sơ: Sinh viên xem thông tin hồ sơ quy định tại https://hcmus.edu.vn/phong-cong-tac-sinh-vien/ (Mục Thông báo miễn giảm).</w:t>
      </w:r>
    </w:p>
    <w:p>
      <w:pPr>
        <w:spacing w:before="120" w:after="40"/>
      </w:pPr>
      <w:r>
        <w:rPr>
          <w:rFonts w:ascii="Arial" w:hAnsi="Arial"/>
          <w:b/>
          <w:color w:val="1E4678"/>
          <w:sz w:val="22"/>
        </w:rPr>
        <w:t>CHÍNH SÁCH SINH VIÊN KHUYẾT TẬT</w:t>
      </w:r>
    </w:p>
    <w:p>
      <w:pPr>
        <w:spacing w:after="80" w:line="276" w:lineRule="auto"/>
      </w:pPr>
      <w:r>
        <w:rPr>
          <w:rFonts w:ascii="Arial" w:hAnsi="Arial"/>
          <w:color w:val="282828"/>
          <w:sz w:val="20"/>
        </w:rPr>
        <w:t>Căn cứ Thông tư liên tịch số 42/2013/TTLT-BGDĐT-BLĐTBXH-BTC ngày 31/12/2013 của Liên Bộ Giáo dục và Đào tạo, Bộ Lao động – Thương Binh và Xã hội, Bộ Tài chính về chính sách giáo dục đối với người khuyết tật (có hiệu lực từ ngày 05/3/2014)</w:t>
      </w:r>
    </w:p>
    <w:p>
      <w:pPr>
        <w:spacing w:after="80" w:line="276" w:lineRule="auto"/>
      </w:pPr>
      <w:r>
        <w:rPr>
          <w:rFonts w:ascii="Arial" w:hAnsi="Arial"/>
          <w:color w:val="282828"/>
          <w:sz w:val="20"/>
        </w:rPr>
        <w:t>1. Đối tượng: sinh viên hệ chính quy là người khuyết tật thuộc diện hộ nghèo, hộ cận nghèo.</w:t>
      </w:r>
    </w:p>
    <w:p>
      <w:pPr>
        <w:spacing w:after="80" w:line="276" w:lineRule="auto"/>
      </w:pPr>
      <w:r>
        <w:rPr>
          <w:rFonts w:ascii="Arial" w:hAnsi="Arial"/>
          <w:color w:val="282828"/>
          <w:sz w:val="20"/>
        </w:rPr>
        <w:t>2. Mức hỗ trợ:</w:t>
      </w:r>
    </w:p>
    <w:p>
      <w:pPr>
        <w:spacing w:after="80" w:line="276" w:lineRule="auto"/>
      </w:pPr>
      <w:r>
        <w:rPr>
          <w:rFonts w:ascii="Arial" w:hAnsi="Arial"/>
          <w:color w:val="282828"/>
          <w:sz w:val="20"/>
        </w:rPr>
        <w:t>2.1.  Được hưởng học bổng mỗi tháng bằng 80% mức lương cơ sở theo quy định của chính phủ trong từng học kỳ, cấp 10 tháng/năm học.</w:t>
      </w:r>
    </w:p>
    <w:p>
      <w:pPr>
        <w:spacing w:after="80" w:line="276" w:lineRule="auto"/>
      </w:pPr>
      <w:r>
        <w:rPr>
          <w:rFonts w:ascii="Arial" w:hAnsi="Arial"/>
          <w:color w:val="282828"/>
          <w:sz w:val="20"/>
        </w:rPr>
        <w:t>2.2.  Được hỗ trợ kinh phí để mua sắm phương tiện, đồ dùng học tập 1.000.000đ/người/năm học.</w:t>
      </w:r>
    </w:p>
    <w:p>
      <w:pPr>
        <w:spacing w:after="80" w:line="276" w:lineRule="auto"/>
      </w:pPr>
      <w:r>
        <w:rPr>
          <w:rFonts w:ascii="Arial" w:hAnsi="Arial"/>
          <w:color w:val="282828"/>
          <w:sz w:val="20"/>
        </w:rPr>
        <w:t>3. Thủ tục hồ sơ (nộp 01 bộ hồ sơ khác với hồ sơ MGHP và TCXH): Sinh viên xem thông tin hồ sơ quy định tại https://hcmus.edu.vn/phong-cong- tac-sinh-vien/ (Mục Thông báo miễn giảm).</w:t>
      </w:r>
    </w:p>
    <w:p>
      <w:pPr>
        <w:spacing w:before="200" w:after="80"/>
      </w:pPr>
      <w:r>
        <w:rPr>
          <w:rFonts w:ascii="Arial" w:hAnsi="Arial"/>
          <w:b/>
          <w:color w:val="003366"/>
          <w:sz w:val="25"/>
        </w:rPr>
        <w:t>PHẦN 5: NGUYÊN VĂN QUY CHẾ ĐÁNH GIÁ KẾT QUẢ RÈN LUYỆN &amp; PHỤ LỤC TIÊU CHÍ (TRANG 116 - 137)</w:t>
      </w:r>
    </w:p>
    <w:p>
      <w:pPr>
        <w:spacing w:after="80" w:line="276" w:lineRule="auto"/>
      </w:pPr>
      <w:r>
        <w:rPr>
          <w:rFonts w:ascii="Arial" w:hAnsi="Arial"/>
          <w:color w:val="282828"/>
          <w:sz w:val="20"/>
        </w:rPr>
        <w:t>Điểm rèn luyện là tiêu chí bắt buộc trong tất cả các chương trình xét học bổng:</w:t>
      </w:r>
    </w:p>
    <w:p>
      <w:pPr>
        <w:spacing w:after="80" w:line="276" w:lineRule="auto"/>
      </w:pPr>
      <w:r>
        <w:rPr>
          <w:rFonts w:ascii="Arial" w:hAnsi="Arial"/>
          <w:color w:val="282828"/>
          <w:sz w:val="20"/>
        </w:rPr>
        <w:t>Stt Nội dung vi phạm Hình thức xử lý gia, truyền bá, thực hành các hoạt động mê tín dị đoan, hoạt động tôn giáo trái phép.</w:t>
      </w:r>
    </w:p>
    <w:p>
      <w:pPr>
        <w:spacing w:after="80" w:line="276" w:lineRule="auto"/>
      </w:pPr>
      <w:r>
        <w:rPr>
          <w:rFonts w:ascii="Arial" w:hAnsi="Arial"/>
          <w:color w:val="282828"/>
          <w:sz w:val="20"/>
        </w:rPr>
        <w:t>9.  Lấy cắp tài sản, chứa chấp, tiêu thụ tài sản do lấy cắp mà có.</w:t>
      </w:r>
    </w:p>
    <w:p>
      <w:pPr>
        <w:spacing w:after="80" w:line="276" w:lineRule="auto"/>
      </w:pPr>
      <w:r>
        <w:rPr>
          <w:rFonts w:ascii="Arial" w:hAnsi="Arial"/>
          <w:color w:val="282828"/>
          <w:sz w:val="20"/>
        </w:rPr>
        <w:t>Tùy theo mức độ, tính chất xử lý từ cảnh cáo đến buộc thôi học.</w:t>
      </w:r>
    </w:p>
    <w:p>
      <w:pPr>
        <w:spacing w:after="80" w:line="276" w:lineRule="auto"/>
      </w:pPr>
      <w:r>
        <w:rPr>
          <w:rFonts w:ascii="Arial" w:hAnsi="Arial"/>
          <w:color w:val="282828"/>
          <w:sz w:val="20"/>
        </w:rPr>
        <w:t>10. Chứa chấp, buôn bán vũ khí, chất nổ và hàng cấm theo quy định của Nhà nước.</w:t>
      </w:r>
    </w:p>
    <w:p>
      <w:pPr>
        <w:spacing w:after="80" w:line="276" w:lineRule="auto"/>
      </w:pPr>
      <w:r>
        <w:rPr>
          <w:rFonts w:ascii="Arial" w:hAnsi="Arial"/>
          <w:color w:val="282828"/>
          <w:sz w:val="20"/>
        </w:rPr>
        <w:t>Buộc thôi học.</w:t>
      </w:r>
    </w:p>
    <w:p>
      <w:pPr>
        <w:spacing w:after="80" w:line="276" w:lineRule="auto"/>
      </w:pPr>
      <w:r>
        <w:rPr>
          <w:rFonts w:ascii="Arial" w:hAnsi="Arial"/>
          <w:color w:val="282828"/>
          <w:sz w:val="20"/>
        </w:rPr>
        <w:t>11.</w:t>
      </w:r>
    </w:p>
    <w:p>
      <w:pPr>
        <w:spacing w:after="80" w:line="276" w:lineRule="auto"/>
      </w:pPr>
      <w:r>
        <w:rPr>
          <w:rFonts w:ascii="Arial" w:hAnsi="Arial"/>
          <w:color w:val="282828"/>
          <w:sz w:val="20"/>
        </w:rPr>
        <w:t>Đưa phần tử xấu vào trong trường, KTX gây ảnh hưởng xấu đến an ninh, trật tự trong trường và KTX.</w:t>
      </w:r>
    </w:p>
    <w:p>
      <w:pPr>
        <w:spacing w:after="80" w:line="276" w:lineRule="auto"/>
      </w:pPr>
      <w:r>
        <w:rPr>
          <w:rFonts w:ascii="Arial" w:hAnsi="Arial"/>
          <w:color w:val="282828"/>
          <w:sz w:val="20"/>
        </w:rPr>
        <w:t>Tùy theo mức độ xử lý từ cảnh</w:t>
      </w:r>
    </w:p>
    <w:p>
      <w:pPr>
        <w:spacing w:before="120" w:after="40"/>
      </w:pPr>
      <w:r>
        <w:rPr>
          <w:rFonts w:ascii="Arial" w:hAnsi="Arial"/>
          <w:b/>
          <w:color w:val="1E4678"/>
          <w:sz w:val="22"/>
        </w:rPr>
        <w:t>QUY CHẾ</w:t>
      </w:r>
    </w:p>
    <w:p>
      <w:pPr>
        <w:spacing w:before="120" w:after="40"/>
      </w:pPr>
      <w:r>
        <w:rPr>
          <w:rFonts w:ascii="Arial" w:hAnsi="Arial"/>
          <w:b/>
          <w:color w:val="1E4678"/>
          <w:sz w:val="22"/>
        </w:rPr>
        <w:t>ĐÁNH GIÁ KẾT QUẢ RÈN LUYỆN SINH VIÊN HỆ CHÍNH QUY</w:t>
      </w:r>
    </w:p>
    <w:p>
      <w:pPr>
        <w:spacing w:before="120" w:after="40"/>
      </w:pPr>
      <w:r>
        <w:rPr>
          <w:rFonts w:ascii="Arial" w:hAnsi="Arial"/>
          <w:b/>
          <w:color w:val="1E4678"/>
          <w:sz w:val="22"/>
        </w:rPr>
        <w:t>TRƯỜNG ĐẠI HỌC KHOA HỌC TỰ NHIÊN, ĐHQG-HCM</w:t>
      </w:r>
    </w:p>
    <w:p>
      <w:pPr>
        <w:spacing w:after="80" w:line="276" w:lineRule="auto"/>
      </w:pPr>
      <w:r>
        <w:rPr>
          <w:rFonts w:ascii="Arial" w:hAnsi="Arial"/>
          <w:color w:val="282828"/>
          <w:sz w:val="20"/>
        </w:rPr>
        <w:t>(Ban hành kèm theo Quyết định số 1028/QĐ-KHTN-CTSV ngày 04/9/2020 của Hiệu trưởng Trường Đại học Khoa học tự nhiên, ĐHQG-HCM) Chương I</w:t>
      </w:r>
    </w:p>
    <w:p>
      <w:pPr>
        <w:spacing w:before="120" w:after="40"/>
      </w:pPr>
      <w:r>
        <w:rPr>
          <w:rFonts w:ascii="Arial" w:hAnsi="Arial"/>
          <w:b/>
          <w:color w:val="1E4678"/>
          <w:sz w:val="22"/>
        </w:rPr>
        <w:t>NHỮNG QUY ĐỊNH CHUNG</w:t>
      </w:r>
    </w:p>
    <w:p>
      <w:pPr>
        <w:spacing w:before="120" w:after="40"/>
      </w:pPr>
      <w:r>
        <w:rPr>
          <w:rFonts w:ascii="Arial" w:hAnsi="Arial"/>
          <w:b/>
          <w:color w:val="1E4678"/>
          <w:sz w:val="22"/>
        </w:rPr>
        <w:t>Điều 1. Phạm vi điều chỉnh và đối tượng áp dụng</w:t>
      </w:r>
    </w:p>
    <w:p>
      <w:pPr>
        <w:spacing w:after="80" w:line="276" w:lineRule="auto"/>
      </w:pPr>
      <w:r>
        <w:rPr>
          <w:rFonts w:ascii="Arial" w:hAnsi="Arial"/>
          <w:color w:val="282828"/>
          <w:sz w:val="20"/>
        </w:rPr>
        <w:t>Quy chế này quy định việc đánh giá kết quả rèn luyện của các sinh viên đang trong thời gian đào tạo đại học, cao đẳng hệ chính quy tại Trường Đại học Khoa học Tự nhiên, ĐHQG-HCM (sau đây gọi chung là sinh viên), bao gồm:</w:t>
      </w:r>
    </w:p>
    <w:p>
      <w:pPr>
        <w:spacing w:after="80" w:line="276" w:lineRule="auto"/>
      </w:pPr>
      <w:r>
        <w:rPr>
          <w:rFonts w:ascii="Arial" w:hAnsi="Arial"/>
          <w:color w:val="282828"/>
          <w:sz w:val="20"/>
        </w:rPr>
        <w:t>Những quy định chung; Các tiêu chí đánh giá, thời gian và cách tính kết quả; Phân loại kết quả rèn luyện; Tổ chức đánh giá và sử dụng kết quả đánh giá.</w:t>
      </w:r>
    </w:p>
    <w:p>
      <w:pPr>
        <w:spacing w:before="120" w:after="40"/>
      </w:pPr>
      <w:r>
        <w:rPr>
          <w:rFonts w:ascii="Arial" w:hAnsi="Arial"/>
          <w:b/>
          <w:color w:val="1E4678"/>
          <w:sz w:val="22"/>
        </w:rPr>
        <w:t>Điều 2. Mục đích việc đánh giá kết quả rèn luyện sinh viên</w:t>
      </w:r>
    </w:p>
    <w:p>
      <w:pPr>
        <w:spacing w:after="80" w:line="276" w:lineRule="auto"/>
      </w:pPr>
      <w:r>
        <w:rPr>
          <w:rFonts w:ascii="Arial" w:hAnsi="Arial"/>
          <w:color w:val="282828"/>
          <w:sz w:val="20"/>
        </w:rPr>
        <w:t>Công tác đánh giá kết quả rèn luyện sinh viên là một trong những nhiệm vụ quan trọng của cơ sở đào tạo, nhằm góp phần giáo dục đạo đức, lối sống; xây dựng ý thức chủ động rèn luyện kiến thức, kỹ năng và thái độ; bồi dưỡng năng lực hoạt động xã hội; đáp ứng yêu cầu của sự nghiệp xây dựng và bảo vệ đất nước; đảm bảo hoàn thành tầm nhìn, sứ mạng, mục tiêu xây dựng và phát triển của nhà trường.</w:t>
      </w:r>
    </w:p>
    <w:p>
      <w:pPr>
        <w:spacing w:before="120" w:after="40"/>
      </w:pPr>
      <w:r>
        <w:rPr>
          <w:rFonts w:ascii="Arial" w:hAnsi="Arial"/>
          <w:b/>
          <w:color w:val="1E4678"/>
          <w:sz w:val="22"/>
        </w:rPr>
        <w:t>Điều 3. Nguyên tắc đánh giá</w:t>
      </w:r>
    </w:p>
    <w:p>
      <w:pPr>
        <w:spacing w:after="80" w:line="276" w:lineRule="auto"/>
      </w:pPr>
      <w:r>
        <w:rPr>
          <w:rFonts w:ascii="Arial" w:hAnsi="Arial"/>
          <w:color w:val="282828"/>
          <w:sz w:val="20"/>
        </w:rPr>
        <w:t>1. Thực hiện nghiêm túc quy trình và các tiêu chí đánh giá được quy định tại quy chế này; đảm bảo khách quan, chính xác, công bằng, công khai.</w:t>
      </w:r>
    </w:p>
    <w:p>
      <w:pPr>
        <w:spacing w:after="80" w:line="276" w:lineRule="auto"/>
      </w:pPr>
      <w:r>
        <w:rPr>
          <w:rFonts w:ascii="Arial" w:hAnsi="Arial"/>
          <w:color w:val="282828"/>
          <w:sz w:val="20"/>
        </w:rPr>
        <w:t>2. Đảm bảo yếu tố bình đẳng, dân chủ, lấy sinh viên làm trung tâm, tôn trọng các quyền lợi của sinh viên trong quá trình đánh giá.</w:t>
      </w:r>
    </w:p>
    <w:p>
      <w:pPr>
        <w:spacing w:after="80" w:line="276" w:lineRule="auto"/>
      </w:pPr>
      <w:r>
        <w:rPr>
          <w:rFonts w:ascii="Arial" w:hAnsi="Arial"/>
          <w:color w:val="282828"/>
          <w:sz w:val="20"/>
        </w:rPr>
        <w:t>3. Tạo điều kiện, định hướng để sinh viên rèn luyện, chủ động xây dựng kế hoạch rèn luyện.</w:t>
      </w:r>
    </w:p>
    <w:p>
      <w:pPr>
        <w:spacing w:after="80" w:line="276" w:lineRule="auto"/>
      </w:pPr>
      <w:r>
        <w:rPr>
          <w:rFonts w:ascii="Arial" w:hAnsi="Arial"/>
          <w:color w:val="282828"/>
          <w:sz w:val="20"/>
        </w:rPr>
        <w:t>4. Ứng dụng công nghệ thông tin trong công tác đánh giá kết quả rèn luyện sinh viên</w:t>
      </w:r>
    </w:p>
    <w:p>
      <w:pPr>
        <w:spacing w:after="80" w:line="276" w:lineRule="auto"/>
      </w:pPr>
      <w:r>
        <w:rPr>
          <w:rFonts w:ascii="Arial" w:hAnsi="Arial"/>
          <w:color w:val="282828"/>
          <w:sz w:val="20"/>
        </w:rPr>
        <w:t>5. Phối hợp đồng bộ, chặt chẽ các bộ phận, các đơn vị, các cấp có liên quan trong nhà trường tham gia công tác đánh giá kết quả rèn luyện sinh viên.</w:t>
      </w:r>
    </w:p>
    <w:p>
      <w:pPr>
        <w:spacing w:before="120" w:after="40"/>
      </w:pPr>
      <w:r>
        <w:rPr>
          <w:rFonts w:ascii="Arial" w:hAnsi="Arial"/>
          <w:b/>
          <w:color w:val="1E4678"/>
          <w:sz w:val="22"/>
        </w:rPr>
        <w:t>Điều 4. Nội dung đánh giá, thang điểm và đợt đánh giá</w:t>
      </w:r>
    </w:p>
    <w:p>
      <w:pPr>
        <w:spacing w:after="80" w:line="276" w:lineRule="auto"/>
      </w:pPr>
      <w:r>
        <w:rPr>
          <w:rFonts w:ascii="Arial" w:hAnsi="Arial"/>
          <w:color w:val="282828"/>
          <w:sz w:val="20"/>
        </w:rPr>
        <w:t>1. Kết quả rèn luyện của mỗi sinh viên được đánh giá định lượng về ý thức, thái độ, hành động thông qua Điểm rèn luyện.</w:t>
      </w:r>
    </w:p>
    <w:p>
      <w:pPr>
        <w:spacing w:after="80" w:line="276" w:lineRule="auto"/>
      </w:pPr>
      <w:r>
        <w:rPr>
          <w:rFonts w:ascii="Arial" w:hAnsi="Arial"/>
          <w:color w:val="282828"/>
          <w:sz w:val="20"/>
        </w:rPr>
        <w:t>2. Nội dung đánh giá và mức Điểm rèn luyện tương ứng:</w:t>
      </w:r>
    </w:p>
    <w:p>
      <w:pPr>
        <w:spacing w:after="80" w:line="276" w:lineRule="auto"/>
      </w:pPr>
      <w:r>
        <w:rPr>
          <w:rFonts w:ascii="Arial" w:hAnsi="Arial"/>
          <w:color w:val="282828"/>
          <w:sz w:val="20"/>
        </w:rPr>
        <w:t>a) Tham gia học tập và nghiên cứu khoa học: cộng tối đa 30 điểm.</w:t>
      </w:r>
    </w:p>
    <w:p>
      <w:pPr>
        <w:spacing w:after="80" w:line="276" w:lineRule="auto"/>
      </w:pPr>
      <w:r>
        <w:rPr>
          <w:rFonts w:ascii="Arial" w:hAnsi="Arial"/>
          <w:color w:val="282828"/>
          <w:sz w:val="20"/>
        </w:rPr>
        <w:t>b) Chấp hành nội quy, quy chế và các quy định được áp dụng trong Nhà trường: cộng tối đa 20 điểm.</w:t>
      </w:r>
    </w:p>
    <w:p>
      <w:pPr>
        <w:spacing w:after="80" w:line="276" w:lineRule="auto"/>
      </w:pPr>
      <w:r>
        <w:rPr>
          <w:rFonts w:ascii="Arial" w:hAnsi="Arial"/>
          <w:color w:val="282828"/>
          <w:sz w:val="20"/>
        </w:rPr>
        <w:t>c) Tham gia các hoạt động chính trị - xã hội, văn hóa - văn nghệ, thể dục thể thao; phòng chống tội phạm và các tệ nạn xã hội: cộng tối đa 25 điểm.</w:t>
      </w:r>
    </w:p>
    <w:p>
      <w:pPr>
        <w:spacing w:after="80" w:line="276" w:lineRule="auto"/>
      </w:pPr>
      <w:r>
        <w:rPr>
          <w:rFonts w:ascii="Arial" w:hAnsi="Arial"/>
          <w:color w:val="282828"/>
          <w:sz w:val="20"/>
        </w:rPr>
        <w:t>d) Hành động hướng đến xây dựng và phát triển cộng đồng: cộng tối đa 25 điểm.</w:t>
      </w:r>
    </w:p>
    <w:p>
      <w:pPr>
        <w:spacing w:after="80" w:line="276" w:lineRule="auto"/>
      </w:pPr>
      <w:r>
        <w:rPr>
          <w:rFonts w:ascii="Arial" w:hAnsi="Arial"/>
          <w:color w:val="282828"/>
          <w:sz w:val="20"/>
        </w:rPr>
        <w:t>e) Các nội dung khuyến khích: cộng tối đa 30 điểm.</w:t>
      </w:r>
    </w:p>
    <w:p>
      <w:pPr>
        <w:spacing w:after="80" w:line="276" w:lineRule="auto"/>
      </w:pPr>
      <w:r>
        <w:rPr>
          <w:rFonts w:ascii="Arial" w:hAnsi="Arial"/>
          <w:color w:val="282828"/>
          <w:sz w:val="20"/>
        </w:rPr>
        <w:t>f) Điểm trừ: không giới hạn.</w:t>
      </w:r>
    </w:p>
    <w:p>
      <w:pPr>
        <w:spacing w:after="80" w:line="276" w:lineRule="auto"/>
      </w:pPr>
      <w:r>
        <w:rPr>
          <w:rFonts w:ascii="Arial" w:hAnsi="Arial"/>
          <w:color w:val="282828"/>
          <w:sz w:val="20"/>
        </w:rPr>
        <w:t>3. Điểm rèn luyện tối đa trong một đợt đánh giá là 100 điểm, là tổng điểm đạt được của các nội dung tại Khoản 2 Điều này, được quy định chi tiết trong Chương II và Phụ lục kèm theo Quy chế này.</w:t>
      </w:r>
    </w:p>
    <w:p>
      <w:pPr>
        <w:spacing w:after="80" w:line="276" w:lineRule="auto"/>
      </w:pPr>
      <w:r>
        <w:rPr>
          <w:rFonts w:ascii="Arial" w:hAnsi="Arial"/>
          <w:color w:val="282828"/>
          <w:sz w:val="20"/>
        </w:rPr>
        <w:t>4. Trong trường hợp tổng điểm các nội dung đánh giá lớn hơn 100 điểm thì Điểm rèn luyện quy về điểm 100.</w:t>
      </w:r>
    </w:p>
    <w:p>
      <w:pPr>
        <w:spacing w:after="80" w:line="276" w:lineRule="auto"/>
      </w:pPr>
      <w:r>
        <w:rPr>
          <w:rFonts w:ascii="Arial" w:hAnsi="Arial"/>
          <w:color w:val="282828"/>
          <w:sz w:val="20"/>
        </w:rPr>
        <w:t>5. Mỗi đợt đánh giá tương ứng với 01 (một) học kỳ chính thức a) Đối với sinh viên chương trình đại trà: học kỳ chính thức được xác định từ thời điểm bắt đầu học kỳ này đến thời điểm bắt đầu học kỳ liền kề sau đó, không tính thời gian của học kỳ hè.</w:t>
      </w:r>
    </w:p>
    <w:p>
      <w:pPr>
        <w:spacing w:after="80" w:line="276" w:lineRule="auto"/>
      </w:pPr>
      <w:r>
        <w:rPr>
          <w:rFonts w:ascii="Arial" w:hAnsi="Arial"/>
          <w:color w:val="282828"/>
          <w:sz w:val="20"/>
        </w:rPr>
        <w:t>b) Đối với sinh viên chương trình đào tạo theo đề án: học kỳ chính thức được xác định từ thời điểm bắt đầu học kỳ này đến thời điểm bắt đầu học kỳ liền kề sau đó (gồm 03 học kỳ/năm học).</w:t>
      </w:r>
    </w:p>
    <w:p>
      <w:pPr>
        <w:spacing w:after="80" w:line="276" w:lineRule="auto"/>
      </w:pPr>
      <w:r>
        <w:rPr>
          <w:rFonts w:ascii="Arial" w:hAnsi="Arial"/>
          <w:color w:val="282828"/>
          <w:sz w:val="20"/>
        </w:rPr>
        <w:t>Chương II</w:t>
      </w:r>
    </w:p>
    <w:p>
      <w:pPr>
        <w:spacing w:before="120" w:after="40"/>
      </w:pPr>
      <w:r>
        <w:rPr>
          <w:rFonts w:ascii="Arial" w:hAnsi="Arial"/>
          <w:b/>
          <w:color w:val="1E4678"/>
          <w:sz w:val="22"/>
        </w:rPr>
        <w:t>CÁC TIÊU CHÍ ĐÁNH GIÁ, THỜI GIAN VÀ CÁCH TÍNH KẾT QUẢ</w:t>
      </w:r>
    </w:p>
    <w:p>
      <w:pPr>
        <w:spacing w:before="120" w:after="40"/>
      </w:pPr>
      <w:r>
        <w:rPr>
          <w:rFonts w:ascii="Arial" w:hAnsi="Arial"/>
          <w:b/>
          <w:color w:val="1E4678"/>
          <w:sz w:val="22"/>
        </w:rPr>
        <w:t>Điều 5. Các tiêu chí đánh giá</w:t>
      </w:r>
    </w:p>
    <w:p>
      <w:pPr>
        <w:spacing w:after="80" w:line="276" w:lineRule="auto"/>
      </w:pPr>
      <w:r>
        <w:rPr>
          <w:rFonts w:ascii="Arial" w:hAnsi="Arial"/>
          <w:color w:val="282828"/>
          <w:sz w:val="20"/>
        </w:rPr>
        <w:t>1. Tham gia học tập và nghiên cứu khoa học:</w:t>
      </w:r>
    </w:p>
    <w:p>
      <w:pPr>
        <w:spacing w:after="80" w:line="276" w:lineRule="auto"/>
      </w:pPr>
      <w:r>
        <w:rPr>
          <w:rFonts w:ascii="Arial" w:hAnsi="Arial"/>
          <w:color w:val="282828"/>
          <w:sz w:val="20"/>
        </w:rPr>
        <w:t>a) Tiêu chí 1: Chấp hành các Quy chế, Quy định liên quan học vụ và khảo thí.</w:t>
      </w:r>
    </w:p>
    <w:p>
      <w:pPr>
        <w:spacing w:after="80" w:line="276" w:lineRule="auto"/>
      </w:pPr>
      <w:r>
        <w:rPr>
          <w:rFonts w:ascii="Arial" w:hAnsi="Arial"/>
          <w:color w:val="282828"/>
          <w:sz w:val="20"/>
        </w:rPr>
        <w:t>b) Tiêu chí 2: Có kết quả học tập tốt và sự tiến bộ của mỗi học kỳ.</w:t>
      </w:r>
    </w:p>
    <w:p>
      <w:pPr>
        <w:spacing w:after="80" w:line="276" w:lineRule="auto"/>
      </w:pPr>
      <w:r>
        <w:rPr>
          <w:rFonts w:ascii="Arial" w:hAnsi="Arial"/>
          <w:color w:val="282828"/>
          <w:sz w:val="20"/>
        </w:rPr>
        <w:t>c) Tiêu chí 3: Sự chủ động tham gia nghiên cứu khoa học và các hoạt động học thuật ngoại khóa.</w:t>
      </w:r>
    </w:p>
    <w:p>
      <w:pPr>
        <w:spacing w:after="80" w:line="276" w:lineRule="auto"/>
      </w:pPr>
      <w:r>
        <w:rPr>
          <w:rFonts w:ascii="Arial" w:hAnsi="Arial"/>
          <w:color w:val="282828"/>
          <w:sz w:val="20"/>
        </w:rPr>
        <w:t>2. Chấp hành nội quy, quy chế và các quy định được áp dụng trong Nhà trường:</w:t>
      </w:r>
    </w:p>
    <w:p>
      <w:pPr>
        <w:spacing w:after="80" w:line="276" w:lineRule="auto"/>
      </w:pPr>
      <w:r>
        <w:rPr>
          <w:rFonts w:ascii="Arial" w:hAnsi="Arial"/>
          <w:color w:val="282828"/>
          <w:sz w:val="20"/>
        </w:rPr>
        <w:t>Tiêu chí 4: Chấp hành nội quy, quy chế và các quy định được áp dụng trong Nhà trường.</w:t>
      </w:r>
    </w:p>
    <w:p>
      <w:pPr>
        <w:spacing w:after="80" w:line="276" w:lineRule="auto"/>
      </w:pPr>
      <w:r>
        <w:rPr>
          <w:rFonts w:ascii="Arial" w:hAnsi="Arial"/>
          <w:color w:val="282828"/>
          <w:sz w:val="20"/>
        </w:rPr>
        <w:t>3. Tham gia các hoạt động chính trị - xã hội, văn hóa - văn nghệ, thể dục - thể thao; phòng chống tội phạm và các tệ nạn xã hội:</w:t>
      </w:r>
    </w:p>
    <w:p>
      <w:pPr>
        <w:spacing w:after="80" w:line="276" w:lineRule="auto"/>
      </w:pPr>
      <w:r>
        <w:rPr>
          <w:rFonts w:ascii="Arial" w:hAnsi="Arial"/>
          <w:color w:val="282828"/>
          <w:sz w:val="20"/>
        </w:rPr>
        <w:t>a) Tiêu chí 5: Sự chủ động tham gia các hoạt động chính trị - xã hội, văn hóa - văn nghệ, thể dục - thể thao.</w:t>
      </w:r>
    </w:p>
    <w:p>
      <w:pPr>
        <w:spacing w:after="80" w:line="276" w:lineRule="auto"/>
      </w:pPr>
      <w:r>
        <w:rPr>
          <w:rFonts w:ascii="Arial" w:hAnsi="Arial"/>
          <w:color w:val="282828"/>
          <w:sz w:val="20"/>
        </w:rPr>
        <w:t>b) Tiêu chí 6: Tham gia phòng chống tội phạm và các tệ nạn xã hội trong nhà trường và nơi lưu trú.</w:t>
      </w:r>
    </w:p>
    <w:p>
      <w:pPr>
        <w:spacing w:after="80" w:line="276" w:lineRule="auto"/>
      </w:pPr>
      <w:r>
        <w:rPr>
          <w:rFonts w:ascii="Arial" w:hAnsi="Arial"/>
          <w:color w:val="282828"/>
          <w:sz w:val="20"/>
        </w:rPr>
        <w:t>c) Tiêu chí 7: Sự chủ động tham gia xây dựng, đóng góp, quảng bá hình ảnh của Nhà trường và Đại học Quốc gia TP. Hồ Chí Minh.</w:t>
      </w:r>
    </w:p>
    <w:p>
      <w:pPr>
        <w:spacing w:after="80" w:line="276" w:lineRule="auto"/>
      </w:pPr>
      <w:r>
        <w:rPr>
          <w:rFonts w:ascii="Arial" w:hAnsi="Arial"/>
          <w:color w:val="282828"/>
          <w:sz w:val="20"/>
        </w:rPr>
        <w:t>4. Hành động hướng đến xây dựng và phát triển cộng đồng:</w:t>
      </w:r>
    </w:p>
    <w:p>
      <w:pPr>
        <w:spacing w:after="80" w:line="276" w:lineRule="auto"/>
      </w:pPr>
      <w:r>
        <w:rPr>
          <w:rFonts w:ascii="Arial" w:hAnsi="Arial"/>
          <w:color w:val="282828"/>
          <w:sz w:val="20"/>
        </w:rPr>
        <w:t>a) Tiêu chí 8: Chấp hành pháp luật và các văn bản quy phạm pháp luật.</w:t>
      </w:r>
    </w:p>
    <w:p>
      <w:pPr>
        <w:spacing w:after="80" w:line="276" w:lineRule="auto"/>
      </w:pPr>
      <w:r>
        <w:rPr>
          <w:rFonts w:ascii="Arial" w:hAnsi="Arial"/>
          <w:color w:val="282828"/>
          <w:sz w:val="20"/>
        </w:rPr>
        <w:t>b) Tiêu chí 9: Sự chủ động tham gia các hoạt động tình nguyện, hành động giải quyết vấn đề xã hội, các hoạt động chung của lớp, khoa và Nhà trường.</w:t>
      </w:r>
    </w:p>
    <w:p>
      <w:pPr>
        <w:spacing w:after="80" w:line="276" w:lineRule="auto"/>
      </w:pPr>
      <w:r>
        <w:rPr>
          <w:rFonts w:ascii="Arial" w:hAnsi="Arial"/>
          <w:color w:val="282828"/>
          <w:sz w:val="20"/>
        </w:rPr>
        <w:t>b) Tiêu chí 10: Tham gia tuyên truyền các chủ trương của Đảng, chính sách, pháp luật của Nhà nước trong cộng đồng.</w:t>
      </w:r>
    </w:p>
    <w:p>
      <w:pPr>
        <w:spacing w:after="80" w:line="276" w:lineRule="auto"/>
      </w:pPr>
      <w:r>
        <w:rPr>
          <w:rFonts w:ascii="Arial" w:hAnsi="Arial"/>
          <w:color w:val="282828"/>
          <w:sz w:val="20"/>
        </w:rPr>
        <w:t>5. Các nội dung khuyến khích:</w:t>
      </w:r>
    </w:p>
    <w:p>
      <w:pPr>
        <w:spacing w:after="80" w:line="276" w:lineRule="auto"/>
      </w:pPr>
      <w:r>
        <w:rPr>
          <w:rFonts w:ascii="Arial" w:hAnsi="Arial"/>
          <w:color w:val="282828"/>
          <w:sz w:val="20"/>
        </w:rPr>
        <w:t>a) Tiêu chí 11: Thành tích xuất sắc trong các kỳ thi, cuộc thi và rèn luyện.</w:t>
      </w:r>
    </w:p>
    <w:p>
      <w:pPr>
        <w:spacing w:after="80" w:line="276" w:lineRule="auto"/>
      </w:pPr>
      <w:r>
        <w:rPr>
          <w:rFonts w:ascii="Arial" w:hAnsi="Arial"/>
          <w:color w:val="282828"/>
          <w:sz w:val="20"/>
        </w:rPr>
        <w:t>b) Tiêu chí 12: Có tinh thần vượt khó, phấn đấu vươn lên trong học tập và cuộc sống.</w:t>
      </w:r>
    </w:p>
    <w:p>
      <w:pPr>
        <w:spacing w:after="80" w:line="276" w:lineRule="auto"/>
      </w:pPr>
      <w:r>
        <w:rPr>
          <w:rFonts w:ascii="Arial" w:hAnsi="Arial"/>
          <w:color w:val="282828"/>
          <w:sz w:val="20"/>
        </w:rPr>
        <w:t>c) Tiêu chí 13: Các trường hợp có hoàn cảnh đặc biệt.</w:t>
      </w:r>
    </w:p>
    <w:p>
      <w:pPr>
        <w:spacing w:before="120" w:after="40"/>
      </w:pPr>
      <w:r>
        <w:rPr>
          <w:rFonts w:ascii="Arial" w:hAnsi="Arial"/>
          <w:b/>
          <w:color w:val="1E4678"/>
          <w:sz w:val="22"/>
        </w:rPr>
        <w:t>Điều 6. Thời gian và cách tính kết quả</w:t>
      </w:r>
    </w:p>
    <w:p>
      <w:pPr>
        <w:spacing w:after="80" w:line="276" w:lineRule="auto"/>
      </w:pPr>
      <w:r>
        <w:rPr>
          <w:rFonts w:ascii="Arial" w:hAnsi="Arial"/>
          <w:color w:val="282828"/>
          <w:sz w:val="20"/>
        </w:rPr>
        <w:t>1. Việc đánh giá kết quả rèn luyện của sinh viên được tiến hành định kỳ theo học kỳ chính thức, năm học và toàn khóa học.</w:t>
      </w:r>
    </w:p>
    <w:p>
      <w:pPr>
        <w:spacing w:after="80" w:line="276" w:lineRule="auto"/>
      </w:pPr>
      <w:r>
        <w:rPr>
          <w:rFonts w:ascii="Arial" w:hAnsi="Arial"/>
          <w:color w:val="282828"/>
          <w:sz w:val="20"/>
        </w:rPr>
        <w:t>2. Điểm rèn luyện của năm học là trung bình cộng của điểm rèn luyện các học kỳ chính có đánh giá kết quả rèn luyện của năm học đó.</w:t>
      </w:r>
    </w:p>
    <w:p>
      <w:pPr>
        <w:spacing w:after="80" w:line="276" w:lineRule="auto"/>
      </w:pPr>
      <w:r>
        <w:rPr>
          <w:rFonts w:ascii="Arial" w:hAnsi="Arial"/>
          <w:color w:val="282828"/>
          <w:sz w:val="20"/>
        </w:rPr>
        <w:t>3. Điểm rèn luyện toàn khóa học là trung bình cộng của điểm rèn luyện các học kỳ chính có đánh giá kết quả rèn luyện của khóa học và được tính theo công thức:</w:t>
      </w:r>
    </w:p>
    <w:p>
      <w:pPr>
        <w:spacing w:after="80" w:line="276" w:lineRule="auto"/>
      </w:pPr>
      <w:r>
        <w:rPr>
          <w:rFonts w:ascii="Arial" w:hAnsi="Arial"/>
          <w:color w:val="282828"/>
          <w:sz w:val="20"/>
        </w:rPr>
        <w:t>Trong đó:</w:t>
      </w:r>
    </w:p>
    <w:p>
      <w:pPr>
        <w:spacing w:after="80" w:line="276" w:lineRule="auto"/>
      </w:pPr>
      <w:r>
        <w:rPr>
          <w:rFonts w:ascii="Arial" w:hAnsi="Arial"/>
          <w:color w:val="282828"/>
          <w:sz w:val="20"/>
        </w:rPr>
        <w:t>R là điểm rèn luyện toàn khóa.</w:t>
      </w:r>
    </w:p>
    <w:p>
      <w:pPr>
        <w:spacing w:after="80" w:line="276" w:lineRule="auto"/>
      </w:pPr>
      <w:r>
        <w:rPr>
          <w:rFonts w:ascii="Arial" w:hAnsi="Arial"/>
          <w:color w:val="282828"/>
          <w:sz w:val="20"/>
        </w:rPr>
        <w:t>ri là điểm rèn luyện của các học kỳ chính có đánh giá kết quả rèn luyện.</w:t>
      </w:r>
    </w:p>
    <w:p>
      <w:pPr>
        <w:spacing w:after="80" w:line="276" w:lineRule="auto"/>
      </w:pPr>
      <w:r>
        <w:rPr>
          <w:rFonts w:ascii="Arial" w:hAnsi="Arial"/>
          <w:color w:val="282828"/>
          <w:sz w:val="20"/>
        </w:rPr>
        <w:t>N là tổng số học kỳ chính có đánh giá kết quả rèn luyện.</w:t>
      </w:r>
    </w:p>
    <w:p>
      <w:pPr>
        <w:spacing w:after="80" w:line="276" w:lineRule="auto"/>
      </w:pPr>
      <w:r>
        <w:rPr>
          <w:rFonts w:ascii="Arial" w:hAnsi="Arial"/>
          <w:color w:val="282828"/>
          <w:sz w:val="20"/>
        </w:rPr>
        <w:t>Chương III</w:t>
      </w:r>
    </w:p>
    <w:p>
      <w:pPr>
        <w:spacing w:before="120" w:after="40"/>
      </w:pPr>
      <w:r>
        <w:rPr>
          <w:rFonts w:ascii="Arial" w:hAnsi="Arial"/>
          <w:b/>
          <w:color w:val="1E4678"/>
          <w:sz w:val="22"/>
        </w:rPr>
        <w:t>PHÂN LOẠI KẾT QUẢ RÈN LUYỆN</w:t>
      </w:r>
    </w:p>
    <w:p>
      <w:pPr>
        <w:spacing w:before="120" w:after="40"/>
      </w:pPr>
      <w:r>
        <w:rPr>
          <w:rFonts w:ascii="Arial" w:hAnsi="Arial"/>
          <w:b/>
          <w:color w:val="1E4678"/>
          <w:sz w:val="22"/>
        </w:rPr>
        <w:t>Điều 7. Phân loại kết quả rèn luyện</w:t>
      </w:r>
    </w:p>
    <w:p>
      <w:pPr>
        <w:spacing w:after="80" w:line="276" w:lineRule="auto"/>
      </w:pPr>
      <w:r>
        <w:rPr>
          <w:rFonts w:ascii="Arial" w:hAnsi="Arial"/>
          <w:color w:val="282828"/>
          <w:sz w:val="20"/>
        </w:rPr>
        <w:t>1.  Kết quả rèn luyện được phân thành các loại: Xuất sắc, Tốt, Khá, Trung bình, Yếu và Kém.</w:t>
      </w:r>
    </w:p>
    <w:p>
      <w:pPr>
        <w:spacing w:after="80" w:line="276" w:lineRule="auto"/>
      </w:pPr>
      <w:r>
        <w:rPr>
          <w:rFonts w:ascii="Arial" w:hAnsi="Arial"/>
          <w:color w:val="282828"/>
          <w:sz w:val="20"/>
        </w:rPr>
        <w:t>2.  Phân loại kết quả rèn luyện:</w:t>
      </w:r>
    </w:p>
    <w:p>
      <w:pPr>
        <w:spacing w:after="80" w:line="276" w:lineRule="auto"/>
      </w:pPr>
      <w:r>
        <w:rPr>
          <w:rFonts w:ascii="Arial" w:hAnsi="Arial"/>
          <w:color w:val="282828"/>
          <w:sz w:val="20"/>
        </w:rPr>
        <w:t>a) Từ 90 đến 100 điểm: loại Xuất sắc.</w:t>
      </w:r>
    </w:p>
    <w:p>
      <w:pPr>
        <w:spacing w:after="80" w:line="276" w:lineRule="auto"/>
      </w:pPr>
      <w:r>
        <w:rPr>
          <w:rFonts w:ascii="Arial" w:hAnsi="Arial"/>
          <w:color w:val="282828"/>
          <w:sz w:val="20"/>
        </w:rPr>
        <w:t>b) Từ 80 đến 89 điểm: loại Tốt.</w:t>
      </w:r>
    </w:p>
    <w:p>
      <w:pPr>
        <w:spacing w:after="80" w:line="276" w:lineRule="auto"/>
      </w:pPr>
      <w:r>
        <w:rPr>
          <w:rFonts w:ascii="Arial" w:hAnsi="Arial"/>
          <w:color w:val="282828"/>
          <w:sz w:val="20"/>
        </w:rPr>
        <w:t>c) Từ 65 đến 79 điểm: loại Khá.</w:t>
      </w:r>
    </w:p>
    <w:p>
      <w:pPr>
        <w:spacing w:after="80" w:line="276" w:lineRule="auto"/>
      </w:pPr>
      <w:r>
        <w:rPr>
          <w:rFonts w:ascii="Arial" w:hAnsi="Arial"/>
          <w:color w:val="282828"/>
          <w:sz w:val="20"/>
        </w:rPr>
        <w:t>d) Từ 50 đến 64 điểm: loại Trung bình.</w:t>
      </w:r>
    </w:p>
    <w:p>
      <w:pPr>
        <w:spacing w:after="80" w:line="276" w:lineRule="auto"/>
      </w:pPr>
      <w:r>
        <w:rPr>
          <w:rFonts w:ascii="Arial" w:hAnsi="Arial"/>
          <w:color w:val="282828"/>
          <w:sz w:val="20"/>
        </w:rPr>
        <w:t>e) Từ 35 đến 49 điểm: loại Yếu.</w:t>
      </w:r>
    </w:p>
    <w:p>
      <w:pPr>
        <w:spacing w:after="80" w:line="276" w:lineRule="auto"/>
      </w:pPr>
      <w:r>
        <w:rPr>
          <w:rFonts w:ascii="Arial" w:hAnsi="Arial"/>
          <w:color w:val="282828"/>
          <w:sz w:val="20"/>
        </w:rPr>
        <w:t>Dưới 35 điểm: loại Kém.</w:t>
      </w:r>
    </w:p>
    <w:p>
      <w:pPr>
        <w:spacing w:before="120" w:after="40"/>
      </w:pPr>
      <w:r>
        <w:rPr>
          <w:rFonts w:ascii="Arial" w:hAnsi="Arial"/>
          <w:b/>
          <w:color w:val="1E4678"/>
          <w:sz w:val="22"/>
        </w:rPr>
        <w:t>Điều 8. Phân loại sinh viên để đánh giá</w:t>
      </w:r>
    </w:p>
    <w:p>
      <w:pPr>
        <w:spacing w:after="80" w:line="276" w:lineRule="auto"/>
      </w:pPr>
      <w:r>
        <w:rPr>
          <w:rFonts w:ascii="Arial" w:hAnsi="Arial"/>
          <w:color w:val="282828"/>
          <w:sz w:val="20"/>
        </w:rPr>
        <w:t>1. Trong thời gian sinh viên bị kỷ luật mức khiển trách, kết quả rèn luyện không được vượt quá loại Khá.</w:t>
      </w:r>
    </w:p>
    <w:p>
      <w:pPr>
        <w:spacing w:after="80" w:line="276" w:lineRule="auto"/>
      </w:pPr>
      <w:r>
        <w:rPr>
          <w:rFonts w:ascii="Arial" w:hAnsi="Arial"/>
          <w:color w:val="282828"/>
          <w:sz w:val="20"/>
        </w:rPr>
        <w:t>2. Trong thời gian sinh viên bị kỷ luật mức cảnh cáo, kết quả rèn luyện không được vượt quá loại Trung bình.</w:t>
      </w:r>
    </w:p>
    <w:p>
      <w:pPr>
        <w:spacing w:after="80" w:line="276" w:lineRule="auto"/>
      </w:pPr>
      <w:r>
        <w:rPr>
          <w:rFonts w:ascii="Arial" w:hAnsi="Arial"/>
          <w:color w:val="282828"/>
          <w:sz w:val="20"/>
        </w:rPr>
        <w:t>3. Sinh viên bị kỷ luật mức đình chỉ học tập không được đánh giá rèn luyện trong thời gian bị đình chỉ.</w:t>
      </w:r>
    </w:p>
    <w:p>
      <w:pPr>
        <w:spacing w:after="80" w:line="276" w:lineRule="auto"/>
      </w:pPr>
      <w:r>
        <w:rPr>
          <w:rFonts w:ascii="Arial" w:hAnsi="Arial"/>
          <w:color w:val="282828"/>
          <w:sz w:val="20"/>
        </w:rPr>
        <w:t>4. Sinh viên bị kỷ luật mức buộc thôi học không được đánh giá kết quả rèn luyện.</w:t>
      </w:r>
    </w:p>
    <w:p>
      <w:pPr>
        <w:spacing w:after="80" w:line="276" w:lineRule="auto"/>
      </w:pPr>
      <w:r>
        <w:rPr>
          <w:rFonts w:ascii="Arial" w:hAnsi="Arial"/>
          <w:color w:val="282828"/>
          <w:sz w:val="20"/>
        </w:rPr>
        <w:t>5. Sinh viên nghỉ học tạm thời hoặc sinh viên còn đang trong thời gian đào tạo nhưng không đăng ký học phần thì kết quả rèn luyện trong học kỳ đó được xếp loại Trung bình (50 điểm).</w:t>
      </w:r>
    </w:p>
    <w:p>
      <w:pPr>
        <w:spacing w:after="80" w:line="276" w:lineRule="auto"/>
      </w:pPr>
      <w:r>
        <w:rPr>
          <w:rFonts w:ascii="Arial" w:hAnsi="Arial"/>
          <w:color w:val="282828"/>
          <w:sz w:val="20"/>
        </w:rPr>
        <w:t>6. Sinh viên đồng thời học hai chương trình đào tạo sẽ được đánh giá kết quả rèn luyện tại đơn vị quản lý chương trình thứ nhất và lấy ý kiến nhận xét của đơn vị quản lý chương trình thứ hai làm căn cứ, cơ sở để đánh giá thêm. Trường hợp chương trình thứ nhất đã hoàn thành thì đơn vị quản lý chương trình thứ hai sẽ tiếp tục được đánh giá kết quả rèn luyện của người học.</w:t>
      </w:r>
    </w:p>
    <w:p>
      <w:pPr>
        <w:spacing w:after="80" w:line="276" w:lineRule="auto"/>
      </w:pPr>
      <w:r>
        <w:rPr>
          <w:rFonts w:ascii="Arial" w:hAnsi="Arial"/>
          <w:color w:val="282828"/>
          <w:sz w:val="20"/>
        </w:rPr>
        <w:t>7. Sinh viên chuyển trường được sự đồng ý của Hiệu trưởng hai cơ sở đào tạo thì được bảo lưu kết quả rèn luyện của cơ sở đào tạo cũ khi học tại cơ sở đào tạo mới và tiếp tục được đánh giá kết quả rèn luyện ở các học kỳ tiếp theo.</w:t>
      </w:r>
    </w:p>
    <w:p>
      <w:pPr>
        <w:spacing w:after="80" w:line="276" w:lineRule="auto"/>
      </w:pPr>
      <w:r>
        <w:rPr>
          <w:rFonts w:ascii="Arial" w:hAnsi="Arial"/>
          <w:color w:val="282828"/>
          <w:sz w:val="20"/>
        </w:rPr>
        <w:t>8. Sinh viên tốt nghiệp trễ tiến độ nếu không vi phạm pháp luật và bị kỷ luật thì không áp dụng tính Điểm trừ trong học kỳ trễ tiến độ. Sinh viên đã hoàn tất chương trình đào tạo nhưng chưa đủ điều kiện tốt nghiệp thì không đánh giá kết quả rèn luyện.</w:t>
      </w:r>
    </w:p>
    <w:p>
      <w:pPr>
        <w:spacing w:after="80" w:line="276" w:lineRule="auto"/>
      </w:pPr>
      <w:r>
        <w:rPr>
          <w:rFonts w:ascii="Arial" w:hAnsi="Arial"/>
          <w:color w:val="282828"/>
          <w:sz w:val="20"/>
        </w:rPr>
        <w:t>9. Sinh viên khuyết tật hoặc mồ côi (cả cha lẫn mẹ hoặc cha hoặc mẹ), hoàn cảnh gia đình đặc biệt khó khăn có xác nhận của địa phương không có khả năng tham gia hoặc không đáp ứng yêu cầu chung các hoạt động rèn luyện thì được ưu tiên, khuyến khích, cộng điểm khi đánh giá kết quả rèn luyện.</w:t>
      </w:r>
    </w:p>
    <w:p>
      <w:pPr>
        <w:spacing w:after="80" w:line="276" w:lineRule="auto"/>
      </w:pPr>
      <w:r>
        <w:rPr>
          <w:rFonts w:ascii="Arial" w:hAnsi="Arial"/>
          <w:color w:val="282828"/>
          <w:sz w:val="20"/>
        </w:rPr>
        <w:t>10. Sinh viên đạt thủ khoa đầu ra toàn khóa của các ngành sẽ được cộng 10 điểm vào điểm rèn luyện toàn khóa học nếu như không vi phạm kỷ luật trong toàn bộ quá trình học.</w:t>
      </w:r>
    </w:p>
    <w:p>
      <w:pPr>
        <w:spacing w:after="80" w:line="276" w:lineRule="auto"/>
      </w:pPr>
      <w:r>
        <w:rPr>
          <w:rFonts w:ascii="Arial" w:hAnsi="Arial"/>
          <w:color w:val="282828"/>
          <w:sz w:val="20"/>
        </w:rPr>
        <w:t>11. Sinh viên đạt giải trong các kỳ thi cấp Quốc gia trở lên sẽ được cộng 5 điểm vào điểm rèn luyện toàn khóa học nếu như không vi phạm nội quy, quy chế hoặc bị kỷ luật trong toàn bộ quá trình học.</w:t>
      </w:r>
    </w:p>
    <w:p>
      <w:pPr>
        <w:spacing w:after="80" w:line="276" w:lineRule="auto"/>
      </w:pPr>
      <w:r>
        <w:rPr>
          <w:rFonts w:ascii="Arial" w:hAnsi="Arial"/>
          <w:color w:val="282828"/>
          <w:sz w:val="20"/>
        </w:rPr>
        <w:t>12. Các trường hợp đặc biệt khác Hội đồng đánh giá cấp Trường sẽ xem xét và quyết định cụ thể.</w:t>
      </w:r>
    </w:p>
    <w:p>
      <w:pPr>
        <w:spacing w:after="80" w:line="276" w:lineRule="auto"/>
      </w:pPr>
      <w:r>
        <w:rPr>
          <w:rFonts w:ascii="Arial" w:hAnsi="Arial"/>
          <w:color w:val="282828"/>
          <w:sz w:val="20"/>
        </w:rPr>
        <w:t>Chương IV</w:t>
      </w:r>
    </w:p>
    <w:p>
      <w:pPr>
        <w:spacing w:before="120" w:after="40"/>
      </w:pPr>
      <w:r>
        <w:rPr>
          <w:rFonts w:ascii="Arial" w:hAnsi="Arial"/>
          <w:b/>
          <w:color w:val="1E4678"/>
          <w:sz w:val="22"/>
        </w:rPr>
        <w:t>TỔ CHỨC ĐÁNH GIÁ VÀ SỬ DỤNG KẾT QUẢ ĐÁNH GIÁ</w:t>
      </w:r>
    </w:p>
    <w:p>
      <w:pPr>
        <w:spacing w:before="120" w:after="40"/>
      </w:pPr>
      <w:r>
        <w:rPr>
          <w:rFonts w:ascii="Arial" w:hAnsi="Arial"/>
          <w:b/>
          <w:color w:val="1E4678"/>
          <w:sz w:val="22"/>
        </w:rPr>
        <w:t>Điều 9. Quy trình đánh giá kết quả rèn luyện</w:t>
      </w:r>
    </w:p>
    <w:p>
      <w:pPr>
        <w:spacing w:after="80" w:line="276" w:lineRule="auto"/>
      </w:pPr>
      <w:r>
        <w:rPr>
          <w:rFonts w:ascii="Arial" w:hAnsi="Arial"/>
          <w:color w:val="282828"/>
          <w:sz w:val="20"/>
        </w:rPr>
        <w:t>1. Vào đầu mỗi năm học, Phòng Công tác Sinh viên xây dựng kế hoạch và phổ biến công tác đánh giá kết quả rèn luyện của sinh viên đến các Khoa, Đoàn thanh niên và Hội Sinh viên.</w:t>
      </w:r>
    </w:p>
    <w:p>
      <w:pPr>
        <w:spacing w:after="80" w:line="276" w:lineRule="auto"/>
      </w:pPr>
      <w:r>
        <w:rPr>
          <w:rFonts w:ascii="Arial" w:hAnsi="Arial"/>
          <w:color w:val="282828"/>
          <w:sz w:val="20"/>
        </w:rPr>
        <w:t>2. Trong mỗi học kỳ, sinh viên căn cứ vào kết quả rèn luyện của bản thân, tự đánh giá theo mức điểm chi tiết tại Phụ lục ban hành kèm theo Quy chế này.</w:t>
      </w:r>
    </w:p>
    <w:p>
      <w:pPr>
        <w:spacing w:after="80" w:line="276" w:lineRule="auto"/>
      </w:pPr>
      <w:r>
        <w:rPr>
          <w:rFonts w:ascii="Arial" w:hAnsi="Arial"/>
          <w:color w:val="282828"/>
          <w:sz w:val="20"/>
        </w:rPr>
        <w:t>3. Vào cuối mỗi tháng và cuối mỗi học kỳ, các Khoa, Đoàn thanh niên và Hội Sinh viên tiến hành cập nhật các thành tích của sinh viên, danh sách sinh viên tham gia các sự kiện, chương trình, hoạt động do đơn vị chịu trách nhiệm tổ chức theo phương thức đã thống nhất với Phòng Công tác Sinh viên.</w:t>
      </w:r>
    </w:p>
    <w:p>
      <w:pPr>
        <w:spacing w:after="80" w:line="276" w:lineRule="auto"/>
      </w:pPr>
      <w:r>
        <w:rPr>
          <w:rFonts w:ascii="Arial" w:hAnsi="Arial"/>
          <w:color w:val="282828"/>
          <w:sz w:val="20"/>
        </w:rPr>
        <w:t>4. Phòng Công tác Sinh viên công bố kết quả rèn luyện dự kiến của học kỳ đánh giá qua hộp thư điện tử của sinh viên và tiếp nhận phản hồi, cập nhật minh chứng, đề nghị điều chỉnh trong vòng 15 ngày kể từ thời điểm công bố, đồng thời gửi kết quả của sinh viên trước và sau điều chỉnh đến Hội đồng đánh giá kết quả rèn luyện cấp Khoa.</w:t>
      </w:r>
    </w:p>
    <w:p>
      <w:pPr>
        <w:spacing w:after="80" w:line="276" w:lineRule="auto"/>
      </w:pPr>
      <w:r>
        <w:rPr>
          <w:rFonts w:ascii="Arial" w:hAnsi="Arial"/>
          <w:color w:val="282828"/>
          <w:sz w:val="20"/>
        </w:rPr>
        <w:t>5. Sau khi tiếp nhận phản hồi, đề nghị điều chỉnh, Phòng Công tác Sinh viên điều chỉnh, bổ sung kết quả rèn luyện theo quy định và trình Hội đồng đánh giá kết quả rèn luyện cấp Trường họp xét và thống nhất.</w:t>
      </w:r>
    </w:p>
    <w:p>
      <w:pPr>
        <w:spacing w:after="80" w:line="276" w:lineRule="auto"/>
      </w:pPr>
      <w:r>
        <w:rPr>
          <w:rFonts w:ascii="Arial" w:hAnsi="Arial"/>
          <w:color w:val="282828"/>
          <w:sz w:val="20"/>
        </w:rPr>
        <w:t>6. Phòng Công tác Sinh viên công bố kết quả rèn luyện chính thức qua hộp thư điện tử của sinh viên và cập nhật lên hồ sơ quản lý sinh viên, hệ thống theo dõi điểm rèn luyện sinh viên.</w:t>
      </w:r>
    </w:p>
    <w:p>
      <w:pPr>
        <w:spacing w:before="120" w:after="40"/>
      </w:pPr>
      <w:r>
        <w:rPr>
          <w:rFonts w:ascii="Arial" w:hAnsi="Arial"/>
          <w:b/>
          <w:color w:val="1E4678"/>
          <w:sz w:val="22"/>
        </w:rPr>
        <w:t>Điều 10. Hội đồng đánh giá kết quả rèn luyện</w:t>
      </w:r>
    </w:p>
    <w:p>
      <w:pPr>
        <w:spacing w:after="80" w:line="276" w:lineRule="auto"/>
      </w:pPr>
      <w:r>
        <w:rPr>
          <w:rFonts w:ascii="Arial" w:hAnsi="Arial"/>
          <w:color w:val="282828"/>
          <w:sz w:val="20"/>
        </w:rPr>
        <w:t>1. Thành phần Hội đồng cấp Trường:</w:t>
      </w:r>
    </w:p>
    <w:p>
      <w:pPr>
        <w:spacing w:after="80" w:line="276" w:lineRule="auto"/>
      </w:pPr>
      <w:r>
        <w:rPr>
          <w:rFonts w:ascii="Arial" w:hAnsi="Arial"/>
          <w:color w:val="282828"/>
          <w:sz w:val="20"/>
        </w:rPr>
        <w:t>a) Chủ tịch Hội đồng: Hiệu trưởng hoặc Phó Hiệu trưởng được Hiệu trưởng uỷ quyền.</w:t>
      </w:r>
    </w:p>
    <w:p>
      <w:pPr>
        <w:spacing w:after="80" w:line="276" w:lineRule="auto"/>
      </w:pPr>
      <w:r>
        <w:rPr>
          <w:rFonts w:ascii="Arial" w:hAnsi="Arial"/>
          <w:color w:val="282828"/>
          <w:sz w:val="20"/>
        </w:rPr>
        <w:t>b) Thường trực Hội đồng: Trưởng phòng Công tác Sinh viên.</w:t>
      </w:r>
    </w:p>
    <w:p>
      <w:pPr>
        <w:spacing w:after="80" w:line="276" w:lineRule="auto"/>
      </w:pPr>
      <w:r>
        <w:rPr>
          <w:rFonts w:ascii="Arial" w:hAnsi="Arial"/>
          <w:color w:val="282828"/>
          <w:sz w:val="20"/>
        </w:rPr>
        <w:t>c) Các uỷ viên: Đại diện Hội đồng đánh giá rèn luyện các Khoa, Lãnh đạo Phòng đào tạo, Thường trực Đoàn thanh niên và Thường trực Hội sinh viên trường.</w:t>
      </w:r>
    </w:p>
    <w:p>
      <w:pPr>
        <w:spacing w:after="80" w:line="276" w:lineRule="auto"/>
      </w:pPr>
      <w:r>
        <w:rPr>
          <w:rFonts w:ascii="Arial" w:hAnsi="Arial"/>
          <w:color w:val="282828"/>
          <w:sz w:val="20"/>
        </w:rPr>
        <w:t>2. Nhiệm vụ của Hội đồng cấp Trường:</w:t>
      </w:r>
    </w:p>
    <w:p>
      <w:pPr>
        <w:spacing w:after="80" w:line="276" w:lineRule="auto"/>
      </w:pPr>
      <w:r>
        <w:rPr>
          <w:rFonts w:ascii="Arial" w:hAnsi="Arial"/>
          <w:color w:val="282828"/>
          <w:sz w:val="20"/>
        </w:rPr>
        <w:t>a) Tư vấn giúp Hiệu trưởng xem xét, công nhận kết quả rèn luyện của từng sinh viên và chịu sự chỉ đạo trực tiếp của Hiệu trưởng.</w:t>
      </w:r>
    </w:p>
    <w:p>
      <w:pPr>
        <w:spacing w:after="80" w:line="276" w:lineRule="auto"/>
      </w:pPr>
      <w:r>
        <w:rPr>
          <w:rFonts w:ascii="Arial" w:hAnsi="Arial"/>
          <w:color w:val="282828"/>
          <w:sz w:val="20"/>
        </w:rPr>
        <w:t>b) Căn cứ vào các quy định hiện hành, trên cơ sở đề nghị của các Khoa tiến hành xem xét, đánh giá kết quả rèn luyện của sinh viên, đề nghị Hiệu trưởng công nhận.</w:t>
      </w:r>
    </w:p>
    <w:p>
      <w:pPr>
        <w:spacing w:after="80" w:line="276" w:lineRule="auto"/>
      </w:pPr>
      <w:r>
        <w:rPr>
          <w:rFonts w:ascii="Arial" w:hAnsi="Arial"/>
          <w:color w:val="282828"/>
          <w:sz w:val="20"/>
        </w:rPr>
        <w:t>3. Thành phần Hội đồng cấp Khoa gồm:</w:t>
      </w:r>
    </w:p>
    <w:p>
      <w:pPr>
        <w:spacing w:after="80" w:line="276" w:lineRule="auto"/>
      </w:pPr>
      <w:r>
        <w:rPr>
          <w:rFonts w:ascii="Arial" w:hAnsi="Arial"/>
          <w:color w:val="282828"/>
          <w:sz w:val="20"/>
        </w:rPr>
        <w:t>a) Chủ tịch Hội đồng: Trưởng khoa hoặc Phó trưởng khoa được Trưởng khoa uỷ quyền.</w:t>
      </w:r>
    </w:p>
    <w:p>
      <w:pPr>
        <w:spacing w:after="80" w:line="276" w:lineRule="auto"/>
      </w:pPr>
      <w:r>
        <w:rPr>
          <w:rFonts w:ascii="Arial" w:hAnsi="Arial"/>
          <w:color w:val="282828"/>
          <w:sz w:val="20"/>
        </w:rPr>
        <w:t>b) Các uỷ viên: Trợ lý sinh viên, giáo viên chủ nhiệm, đại diện Ban chấp hành Đoàn thanh niên, Hội Sinh viên cấp khoa và đại diện Ban cán sự các lớp.</w:t>
      </w:r>
    </w:p>
    <w:p>
      <w:pPr>
        <w:spacing w:after="80" w:line="276" w:lineRule="auto"/>
      </w:pPr>
      <w:r>
        <w:rPr>
          <w:rFonts w:ascii="Arial" w:hAnsi="Arial"/>
          <w:color w:val="282828"/>
          <w:sz w:val="20"/>
        </w:rPr>
        <w:t>4. Nhiệm vụ của Hội đồng cấp Khoa:</w:t>
      </w:r>
    </w:p>
    <w:p>
      <w:pPr>
        <w:spacing w:after="80" w:line="276" w:lineRule="auto"/>
      </w:pPr>
      <w:r>
        <w:rPr>
          <w:rFonts w:ascii="Arial" w:hAnsi="Arial"/>
          <w:color w:val="282828"/>
          <w:sz w:val="20"/>
        </w:rPr>
        <w:t>a) Giúp Trưởng khoa xem xét, đánh giá chính xác, công bằng, công khai và dân chủ kết quả rèn luyện của từng sinh viên trong khoa.</w:t>
      </w:r>
    </w:p>
    <w:p>
      <w:pPr>
        <w:spacing w:after="80" w:line="276" w:lineRule="auto"/>
      </w:pPr>
      <w:r>
        <w:rPr>
          <w:rFonts w:ascii="Arial" w:hAnsi="Arial"/>
          <w:color w:val="282828"/>
          <w:sz w:val="20"/>
        </w:rPr>
        <w:t>b) Căn cứ vào quy định hiện hành, trên cơ sở đề nghị của các ủy viên, Hội đồng cấp Khoa tiến hành họp thống nhất kết quả rèn luyện của từng sinh viên trong Khoa và kiến nghị điều chỉnh điểm dự kiến nếu có, ủy quyền cho người đại diện Hội đồng đề nghị Hội đồng cấp Trường điều chỉnh và công nhận trong phiên họp Hội đồng cấp Trường.</w:t>
      </w:r>
    </w:p>
    <w:p>
      <w:pPr>
        <w:spacing w:before="120" w:after="40"/>
      </w:pPr>
      <w:r>
        <w:rPr>
          <w:rFonts w:ascii="Arial" w:hAnsi="Arial"/>
          <w:b/>
          <w:color w:val="1E4678"/>
          <w:sz w:val="22"/>
        </w:rPr>
        <w:t>Điều 11. Sử dụng kết quả</w:t>
      </w:r>
    </w:p>
    <w:p>
      <w:pPr>
        <w:spacing w:after="80" w:line="276" w:lineRule="auto"/>
      </w:pPr>
      <w:r>
        <w:rPr>
          <w:rFonts w:ascii="Arial" w:hAnsi="Arial"/>
          <w:color w:val="282828"/>
          <w:sz w:val="20"/>
        </w:rPr>
        <w:t>1. Kết quả đánh giá rèn luyện từng học kỳ, năm học của sinh viên được lưu trong hồ sơ quản lý sinh viên của Trường, được sử dụng trong công tác đảm bảo chất lượng, kiểm định chất lượng giáo dục; được sử dụng trong việc xét duyệt học bổng, xét khen thưởng – kỷ luật, xét thôi học, ngừng học, xét lưu trú ký túc xá, xét giải quyết việc làm thêm, xét miễn giảm chi phí, dịch vụ và sinh hoạt trong ký túc xá và các ưu tiên khác.</w:t>
      </w:r>
    </w:p>
    <w:p>
      <w:pPr>
        <w:spacing w:after="80" w:line="276" w:lineRule="auto"/>
      </w:pPr>
      <w:r>
        <w:rPr>
          <w:rFonts w:ascii="Arial" w:hAnsi="Arial"/>
          <w:color w:val="282828"/>
          <w:sz w:val="20"/>
        </w:rPr>
        <w:t>2. Kết quả đánh giá rèn luyện toàn khóa học được ghi chung vào bảng kiểm kết quả học tập và lưu trong hồ sơ của sinh viên khi tốt nghiệp ra trường.</w:t>
      </w:r>
    </w:p>
    <w:p>
      <w:pPr>
        <w:spacing w:after="80" w:line="276" w:lineRule="auto"/>
      </w:pPr>
      <w:r>
        <w:rPr>
          <w:rFonts w:ascii="Arial" w:hAnsi="Arial"/>
          <w:color w:val="282828"/>
          <w:sz w:val="20"/>
        </w:rPr>
        <w:t>3. Sinh viên có kết quả rèn luyện xuất sắc được Nhà trường xem xét biểu dương, khen thưởng và đề nghị tặng Bằng khen Giám đốc ĐHQG-HCM theo quy định tại Quy chế Thi đua, khen thưởng và Kỷ luật học sinh, sinh viên ĐHQG- HCM.</w:t>
      </w:r>
    </w:p>
    <w:p>
      <w:pPr>
        <w:spacing w:after="80" w:line="276" w:lineRule="auto"/>
      </w:pPr>
      <w:r>
        <w:rPr>
          <w:rFonts w:ascii="Arial" w:hAnsi="Arial"/>
          <w:color w:val="282828"/>
          <w:sz w:val="20"/>
        </w:rPr>
        <w:t>4. Sinh viên bị xếp loại rèn luyện yếu, kém trong hai học kỳ chính liên tiếp lần thứ nhất thì xem xét kỷ luật ở mức độ cảnh cáo và nếu bị xếp loại rèn luyện yếu hai học kỳ chính liên tiếp lần thứ hai sẽ bị buộc thôi học.</w:t>
      </w:r>
    </w:p>
    <w:p>
      <w:pPr>
        <w:spacing w:before="120" w:after="40"/>
      </w:pPr>
      <w:r>
        <w:rPr>
          <w:rFonts w:ascii="Arial" w:hAnsi="Arial"/>
          <w:b/>
          <w:color w:val="1E4678"/>
          <w:sz w:val="22"/>
        </w:rPr>
        <w:t>Điều 12. Quyền khiếu nại</w:t>
      </w:r>
    </w:p>
    <w:p>
      <w:pPr>
        <w:spacing w:after="80" w:line="276" w:lineRule="auto"/>
      </w:pPr>
      <w:r>
        <w:rPr>
          <w:rFonts w:ascii="Arial" w:hAnsi="Arial"/>
          <w:color w:val="282828"/>
          <w:sz w:val="20"/>
        </w:rPr>
        <w:t>Sinh viên có quyền khiếu nại về việc đánh giá kết quả rèn luyện. Việc khiếu nại được thực hiện theo quy định của pháp luật về khiếu nại và quy trình khiếu nại được ban hành của Trường.</w:t>
      </w:r>
    </w:p>
    <w:p>
      <w:pPr>
        <w:spacing w:after="80" w:line="276" w:lineRule="auto"/>
      </w:pPr>
      <w:r>
        <w:rPr>
          <w:rFonts w:ascii="Arial" w:hAnsi="Arial"/>
          <w:color w:val="282828"/>
          <w:sz w:val="20"/>
        </w:rPr>
        <w:t>Trường hợp khiếu nại điểm rèn luyện năm hoặc hoặc toàn khóa do có sai sót trong quá trình cập nhật điểm rèn luyện từng học kỳ khác so với điểm đã công bố chính thức, sinh viên phản hồi trực tiếp hoặc qua hộp thư điện tử</w:t>
      </w:r>
    </w:p>
    <w:p>
      <w:pPr>
        <w:spacing w:before="200" w:after="80"/>
      </w:pPr>
      <w:r>
        <w:rPr>
          <w:rFonts w:ascii="Arial" w:hAnsi="Arial"/>
          <w:b/>
          <w:color w:val="003366"/>
          <w:sz w:val="25"/>
        </w:rPr>
        <w:t>PHẦN 6: NGUYÊN VĂN QUY ĐỊNH KHEN THƯỞNG, KỶ LUẬT SINH VIÊN (TRANG 138 - 155, QĐ 2738/QĐ-KHTN)</w:t>
      </w:r>
    </w:p>
    <w:p>
      <w:pPr>
        <w:spacing w:before="120" w:after="40"/>
      </w:pPr>
      <w:r>
        <w:rPr>
          <w:rFonts w:ascii="Arial" w:hAnsi="Arial"/>
          <w:b/>
          <w:color w:val="1E4678"/>
          <w:sz w:val="22"/>
        </w:rPr>
        <w:t>QUY ĐỊNH KHEN THƯỞNG, KỶ LUẬT SINH VIÊN</w:t>
      </w:r>
    </w:p>
    <w:p>
      <w:pPr>
        <w:spacing w:after="80" w:line="276" w:lineRule="auto"/>
      </w:pPr>
      <w:r>
        <w:rPr>
          <w:rFonts w:ascii="Arial" w:hAnsi="Arial"/>
          <w:color w:val="282828"/>
          <w:sz w:val="20"/>
        </w:rPr>
        <w:t>(Ban hành kèm theo Quyết định số 2738/QĐ-KHTN ngày 12/12/2023 của Hiệu trưởng Trường Đại học Khoa học tự nhiên, ĐHQG-HCM)</w:t>
      </w:r>
    </w:p>
    <w:p>
      <w:pPr>
        <w:spacing w:before="200" w:after="80"/>
      </w:pPr>
      <w:r>
        <w:rPr>
          <w:rFonts w:ascii="Arial" w:hAnsi="Arial"/>
          <w:b/>
          <w:color w:val="003366"/>
          <w:sz w:val="25"/>
        </w:rPr>
        <w:t>CHƯƠNG I</w:t>
      </w:r>
    </w:p>
    <w:p>
      <w:pPr>
        <w:spacing w:before="120" w:after="40"/>
      </w:pPr>
      <w:r>
        <w:rPr>
          <w:rFonts w:ascii="Arial" w:hAnsi="Arial"/>
          <w:b/>
          <w:color w:val="1E4678"/>
          <w:sz w:val="22"/>
        </w:rPr>
        <w:t>NHỮNG QUY ĐỊNH CHUNG</w:t>
      </w:r>
    </w:p>
    <w:p>
      <w:pPr>
        <w:spacing w:before="120" w:after="40"/>
      </w:pPr>
      <w:r>
        <w:rPr>
          <w:rFonts w:ascii="Arial" w:hAnsi="Arial"/>
          <w:b/>
          <w:color w:val="1E4678"/>
          <w:sz w:val="22"/>
        </w:rPr>
        <w:t>Điều 1. Phạm vi điều chỉnh và đối tượng áp dụng</w:t>
      </w:r>
    </w:p>
    <w:p>
      <w:pPr>
        <w:spacing w:after="80" w:line="276" w:lineRule="auto"/>
      </w:pPr>
      <w:r>
        <w:rPr>
          <w:rFonts w:ascii="Arial" w:hAnsi="Arial"/>
          <w:color w:val="282828"/>
          <w:sz w:val="20"/>
        </w:rPr>
        <w:t>1. Văn bản này quy định về công tác khen thưởng, kỷ luật đối với sinh viên (sau đây viết tắt là SV) đang theo học tại Trường Đại học Khoa học tự nhiên, Đại học Quốc gia TP.HCM (sau đây viết tắt là Trường ĐH KHTN);</w:t>
      </w:r>
    </w:p>
    <w:p>
      <w:pPr>
        <w:spacing w:after="80" w:line="276" w:lineRule="auto"/>
      </w:pPr>
      <w:r>
        <w:rPr>
          <w:rFonts w:ascii="Arial" w:hAnsi="Arial"/>
          <w:color w:val="282828"/>
          <w:sz w:val="20"/>
        </w:rPr>
        <w:t>2. Văn bản này áp dụng đối với các đơn vị chức năng, các cá nhân có liên quan đến công tác khen thưởng, kỷ luật sinh viên tại Trường ĐH KHTN.</w:t>
      </w:r>
    </w:p>
    <w:p>
      <w:pPr>
        <w:spacing w:after="80" w:line="276" w:lineRule="auto"/>
      </w:pPr>
      <w:r>
        <w:rPr>
          <w:rFonts w:ascii="Arial" w:hAnsi="Arial"/>
          <w:color w:val="282828"/>
          <w:sz w:val="20"/>
        </w:rPr>
        <w:t>3. Việc khen thưởng cấp ĐHQG-HCM được thực hiện theo quy định, hướng dẫn của ĐHQG-HCM.</w:t>
      </w:r>
    </w:p>
    <w:p>
      <w:pPr>
        <w:spacing w:before="120" w:after="40"/>
      </w:pPr>
      <w:r>
        <w:rPr>
          <w:rFonts w:ascii="Arial" w:hAnsi="Arial"/>
          <w:b/>
          <w:color w:val="1E4678"/>
          <w:sz w:val="22"/>
        </w:rPr>
        <w:t>Điều 2. Mục đích, yêu cầu của công tác khen thưởng, kỷ luật SV</w:t>
      </w:r>
    </w:p>
    <w:p>
      <w:pPr>
        <w:spacing w:after="80" w:line="276" w:lineRule="auto"/>
      </w:pPr>
      <w:r>
        <w:rPr>
          <w:rFonts w:ascii="Arial" w:hAnsi="Arial"/>
          <w:color w:val="282828"/>
          <w:sz w:val="20"/>
        </w:rPr>
        <w:t>1. Mục đích a) Xây dựng cơ sở pháp lý cho công tác khen thưởng, kỷ luật SV.</w:t>
      </w:r>
    </w:p>
    <w:p>
      <w:pPr>
        <w:spacing w:after="80" w:line="276" w:lineRule="auto"/>
      </w:pPr>
      <w:r>
        <w:rPr>
          <w:rFonts w:ascii="Arial" w:hAnsi="Arial"/>
          <w:color w:val="282828"/>
          <w:sz w:val="20"/>
        </w:rPr>
        <w:t>b) Xây dựng môi trường giáo dục toàn diện.</w:t>
      </w:r>
    </w:p>
    <w:p>
      <w:pPr>
        <w:spacing w:after="80" w:line="276" w:lineRule="auto"/>
      </w:pPr>
      <w:r>
        <w:rPr>
          <w:rFonts w:ascii="Arial" w:hAnsi="Arial"/>
          <w:color w:val="282828"/>
          <w:sz w:val="20"/>
        </w:rPr>
        <w:t>c) Xây dựng mẫu hình SV theo định hướng chung của ĐHQG-HCM: bản lĩnh, tự tin; năng động, sáng tạo; trách nhiệm, hội nhập.</w:t>
      </w:r>
    </w:p>
    <w:p>
      <w:pPr>
        <w:spacing w:after="80" w:line="276" w:lineRule="auto"/>
      </w:pPr>
      <w:r>
        <w:rPr>
          <w:rFonts w:ascii="Arial" w:hAnsi="Arial"/>
          <w:color w:val="282828"/>
          <w:sz w:val="20"/>
        </w:rPr>
        <w:t>d) Tăng cường công tác giáo dục chính trị, tư tưởng cho SV.</w:t>
      </w:r>
    </w:p>
    <w:p>
      <w:pPr>
        <w:spacing w:after="80" w:line="276" w:lineRule="auto"/>
      </w:pPr>
      <w:r>
        <w:rPr>
          <w:rFonts w:ascii="Arial" w:hAnsi="Arial"/>
          <w:color w:val="282828"/>
          <w:sz w:val="20"/>
        </w:rPr>
        <w:t>2. Yêu cầu a) Bảo đảm tính chính xác, kịp thời, công khai, minh bạch.</w:t>
      </w:r>
    </w:p>
    <w:p>
      <w:pPr>
        <w:spacing w:after="80" w:line="276" w:lineRule="auto"/>
      </w:pPr>
      <w:r>
        <w:rPr>
          <w:rFonts w:ascii="Arial" w:hAnsi="Arial"/>
          <w:color w:val="282828"/>
          <w:sz w:val="20"/>
        </w:rPr>
        <w:t>b) Kịp thời động viên, khích lệ và nhân rộng điển hình tiên tiến; tạo sự lan tỏa trong SV.</w:t>
      </w:r>
    </w:p>
    <w:p>
      <w:pPr>
        <w:spacing w:before="200" w:after="80"/>
      </w:pPr>
      <w:r>
        <w:rPr>
          <w:rFonts w:ascii="Arial" w:hAnsi="Arial"/>
          <w:b/>
          <w:color w:val="003366"/>
          <w:sz w:val="25"/>
        </w:rPr>
        <w:t>CHƯƠNG II</w:t>
      </w:r>
    </w:p>
    <w:p>
      <w:pPr>
        <w:spacing w:before="120" w:after="40"/>
      </w:pPr>
      <w:r>
        <w:rPr>
          <w:rFonts w:ascii="Arial" w:hAnsi="Arial"/>
          <w:b/>
          <w:color w:val="1E4678"/>
          <w:sz w:val="22"/>
        </w:rPr>
        <w:t>NỘI DUNG CỦA CÔNG TÁC KHEN THƯỞNG</w:t>
      </w:r>
    </w:p>
    <w:p>
      <w:pPr>
        <w:spacing w:before="120" w:after="40"/>
      </w:pPr>
      <w:r>
        <w:rPr>
          <w:rFonts w:ascii="Arial" w:hAnsi="Arial"/>
          <w:b/>
          <w:color w:val="1E4678"/>
          <w:sz w:val="22"/>
        </w:rPr>
        <w:t>Điều 3. Các hình thức triển khai công tác khen thưởng</w:t>
      </w:r>
    </w:p>
    <w:p>
      <w:pPr>
        <w:spacing w:after="80" w:line="276" w:lineRule="auto"/>
      </w:pPr>
      <w:r>
        <w:rPr>
          <w:rFonts w:ascii="Arial" w:hAnsi="Arial"/>
          <w:color w:val="282828"/>
          <w:sz w:val="20"/>
        </w:rPr>
        <w:t>1. Khen thưởng định kỳ cho tập thể SV, cá nhân SV đã đạt được thành tích xuất sắc vào đầu khóa học, khi kết thúc mỗi học kỳ và khi SV tốt nghiệp.</w:t>
      </w:r>
    </w:p>
    <w:p>
      <w:pPr>
        <w:spacing w:after="80" w:line="276" w:lineRule="auto"/>
      </w:pPr>
      <w:r>
        <w:rPr>
          <w:rFonts w:ascii="Arial" w:hAnsi="Arial"/>
          <w:color w:val="282828"/>
          <w:sz w:val="20"/>
        </w:rPr>
        <w:t>2. Khen thưởng theo đợt hoặc theo chuyên đề cho tập thể, cá nhân SV đạt thành tích xuất sắc trong các hoạt động khác ngoài hoạt động học tập.</w:t>
      </w:r>
    </w:p>
    <w:p>
      <w:pPr>
        <w:spacing w:after="80" w:line="276" w:lineRule="auto"/>
      </w:pPr>
      <w:r>
        <w:rPr>
          <w:rFonts w:ascii="Arial" w:hAnsi="Arial"/>
          <w:color w:val="282828"/>
          <w:sz w:val="20"/>
        </w:rPr>
        <w:t>3. Khen thưởng đột xuất cho tập thể SV, cá nhân SV có thành tích đặc biệt, thành tích xuất sắc, có phát minh, sáng chế, công trình khoa học, tác phẩm cấp Bộ hoặc đạt giải Nhất, Nhì, Ba, Khuyến khích trong các cuộc thi học thuật cấp ĐHQG-HCM, quốc gia, quốc tế.</w:t>
      </w:r>
    </w:p>
    <w:p>
      <w:pPr>
        <w:spacing w:after="80" w:line="276" w:lineRule="auto"/>
      </w:pPr>
      <w:r>
        <w:rPr>
          <w:rFonts w:ascii="Arial" w:hAnsi="Arial"/>
          <w:color w:val="282828"/>
          <w:sz w:val="20"/>
        </w:rPr>
        <w:t>4. Mỗi tập thể SV, cá nhân SV chỉ được nhận Giấy khen của Hiệu trưởng một lần cho cùng một thành tích trong năm học.</w:t>
      </w:r>
    </w:p>
    <w:p>
      <w:pPr>
        <w:spacing w:after="80" w:line="276" w:lineRule="auto"/>
      </w:pPr>
      <w:r>
        <w:rPr>
          <w:rFonts w:ascii="Arial" w:hAnsi="Arial"/>
          <w:color w:val="282828"/>
          <w:sz w:val="20"/>
        </w:rPr>
        <w:t>5. Trong trường hợp tập thể SV, cá nhân SV cùng lúc được nhiều mức khen thưởng thì chỉ được khen thưởng mức cao nhất.</w:t>
      </w:r>
    </w:p>
    <w:p>
      <w:pPr>
        <w:spacing w:before="120" w:after="40"/>
      </w:pPr>
      <w:r>
        <w:rPr>
          <w:rFonts w:ascii="Arial" w:hAnsi="Arial"/>
          <w:b/>
          <w:color w:val="1E4678"/>
          <w:sz w:val="22"/>
        </w:rPr>
        <w:t>Điều 4. Khen thưởng đầu vào kỳ xét tuyển Đại học</w:t>
      </w:r>
    </w:p>
    <w:p>
      <w:pPr>
        <w:spacing w:after="80" w:line="276" w:lineRule="auto"/>
      </w:pPr>
      <w:r>
        <w:rPr>
          <w:rFonts w:ascii="Arial" w:hAnsi="Arial"/>
          <w:color w:val="282828"/>
          <w:sz w:val="20"/>
        </w:rPr>
        <w:t>1. Quy tắc khen thưởng: Việc xét khen thưởng các thí sinh trúng tuyển đạt thành tích cao kỳ xét tuyển Đại học được thực hiện dựa trên kế hoạch tuyển sinh của Nhà trường hàng năm theo các quy tắc như sau:</w:t>
      </w:r>
    </w:p>
    <w:p>
      <w:pPr>
        <w:spacing w:after="80" w:line="276" w:lineRule="auto"/>
      </w:pPr>
      <w:r>
        <w:rPr>
          <w:rFonts w:ascii="Arial" w:hAnsi="Arial"/>
          <w:color w:val="282828"/>
          <w:sz w:val="20"/>
        </w:rPr>
        <w:t>a) Áp dụng đối với tất cả các thí sinh trúng tuyển và nhập học theo các phương thức xét tuyển; b) Căn cứ xét khen thưởng dựa trên tiêu chí tuyển sinh và kết quả xét tuyển của mỗi phương thức; c) Điểm xét khen thưởng không tính điểm ưu tiên.</w:t>
      </w:r>
    </w:p>
    <w:p>
      <w:pPr>
        <w:spacing w:after="80" w:line="276" w:lineRule="auto"/>
      </w:pPr>
      <w:r>
        <w:rPr>
          <w:rFonts w:ascii="Arial" w:hAnsi="Arial"/>
          <w:color w:val="282828"/>
          <w:sz w:val="20"/>
        </w:rPr>
        <w:t>2. Tiêu chuẩn và danh hiệu khen thưởng:</w:t>
      </w:r>
    </w:p>
    <w:p>
      <w:pPr>
        <w:spacing w:after="80" w:line="276" w:lineRule="auto"/>
      </w:pPr>
      <w:r>
        <w:rPr>
          <w:rFonts w:ascii="Arial" w:hAnsi="Arial"/>
          <w:color w:val="282828"/>
          <w:sz w:val="20"/>
        </w:rPr>
        <w:t>a) Thí sinh trúng tuyển và nhập học theo phương thức tuyển thẳng và ưu tiên xét tuyển theo Quy định của Bộ GD&amp;ĐT đạt Huy chương Vàng, Bạc, Đồng cấp quốc tế trong Kỳ thi Olympic các môn học (Toán, Khoa học Tự nhiên và Tin học) hoặc đạt giải Nhất cấp quốc gia trong các cuộc thi Khoa học kỹ thuật; Kỳ thi Olympic; Kỳ thi học sinh giỏi các môn học (Toán, Khoa học Tự nhiên và Tin học): được khen thưởng với thành tích xuất sắc; b) Thí sinh trúng tuyển và nhập học theo phương thức xét tuyển dựa trên kết quả học tập THPT có điểm xét tuyển cao nhất: được khen thưởng với thành tích xuất sắc; c) Thí sinh trúng tuyển và nhập học theo phương thức xét tuyển dựa trên kết quả kỳ thi tốt nghiệp Trung học phổ thông và phương thức xét tuyển dựa trên kết quả kỳ thi Đánh giá năng lực do ĐHQG TP.HCM tổ chức có:</w:t>
      </w:r>
    </w:p>
    <w:p>
      <w:pPr>
        <w:spacing w:after="80" w:line="276" w:lineRule="auto"/>
      </w:pPr>
      <w:r>
        <w:rPr>
          <w:rFonts w:ascii="Arial" w:hAnsi="Arial"/>
          <w:color w:val="282828"/>
          <w:sz w:val="20"/>
        </w:rPr>
        <w:t>Điểm xét tuyển cao nhất mỗi phương thức được công nhận và khen thưởng với danh hiệu Thủ khoa Trường; Điểm xét tuyển cao thứ 2 mỗi phương thức được công nhận và khen thưởng với danh hiệu danh hiệu Á khoa Trường; Điểm xét tuyển cao thứ nhất của Khoa theo mỗi phương thức sẽ được công nhận và khen thưởng với danh hiệu Thủ khoa của Khoa. Các Khoa đã có thí sinh đạt danh hiệu Thủ Khoa Trường hoặc Á khoa Trường sẽ không xét Thủ khoa của Khoa.</w:t>
      </w:r>
    </w:p>
    <w:p>
      <w:pPr>
        <w:spacing w:after="80" w:line="276" w:lineRule="auto"/>
      </w:pPr>
      <w:r>
        <w:rPr>
          <w:rFonts w:ascii="Arial" w:hAnsi="Arial"/>
          <w:color w:val="282828"/>
          <w:sz w:val="20"/>
        </w:rPr>
        <w:t>d) Trong trường hợp nhiều SV có cùng mức điểm tốt nghiệp, Trường sẽ căn cứ vào điểm trung bình học tập của 03 năm THPT để xét. Các trường hợp đặc biệt khác (nếu có) sẽ do Hội đồng khen thưởng và kỷ luật sinh viên tham mưu Hiệu trưởng ra Quyết định khen thưởng.</w:t>
      </w:r>
    </w:p>
    <w:p>
      <w:pPr>
        <w:spacing w:before="120" w:after="40"/>
      </w:pPr>
      <w:r>
        <w:rPr>
          <w:rFonts w:ascii="Arial" w:hAnsi="Arial"/>
          <w:b/>
          <w:color w:val="1E4678"/>
          <w:sz w:val="22"/>
        </w:rPr>
        <w:t>Điều 5. Khen thưởng học kỳ, năm học</w:t>
      </w:r>
    </w:p>
    <w:p>
      <w:pPr>
        <w:spacing w:after="80" w:line="276" w:lineRule="auto"/>
      </w:pPr>
      <w:r>
        <w:rPr>
          <w:rFonts w:ascii="Arial" w:hAnsi="Arial"/>
          <w:color w:val="282828"/>
          <w:sz w:val="20"/>
        </w:rPr>
        <w:t>1. Điều kiện khen thưởng: Việc xét khen thưởng được thực hiện vào cuối mỗi học kỳ, năm học và áp dụng chung cho toàn thể SV nếu SV đáp ứng đủ các điều kiện sau:</w:t>
      </w:r>
    </w:p>
    <w:p>
      <w:pPr>
        <w:spacing w:after="80" w:line="276" w:lineRule="auto"/>
      </w:pPr>
      <w:r>
        <w:rPr>
          <w:rFonts w:ascii="Arial" w:hAnsi="Arial"/>
          <w:color w:val="282828"/>
          <w:sz w:val="20"/>
        </w:rPr>
        <w:t>a) Có đăng ký học phần trong học kỳ xét khen thưởng; b) Có xếp loại rèn luyện của học kỳ trước đó từ loại Khá trở lên; c) Không nợ học phí; d) Không vi phạm các Quy chế, Quy định của Nhà trường; không bị kỷ luật trong học kỳ xét khen thưởng; e) Không có học phần nào có điểm dưới 5.0 trong học kỳ xét khen thưởng.</w:t>
      </w:r>
    </w:p>
    <w:p>
      <w:pPr>
        <w:spacing w:after="80" w:line="276" w:lineRule="auto"/>
      </w:pPr>
      <w:r>
        <w:rPr>
          <w:rFonts w:ascii="Arial" w:hAnsi="Arial"/>
          <w:color w:val="282828"/>
          <w:sz w:val="20"/>
        </w:rPr>
        <w:t>2. Tiêu chuẩn xét khen thưởng:</w:t>
      </w:r>
    </w:p>
    <w:p>
      <w:pPr>
        <w:spacing w:after="80" w:line="276" w:lineRule="auto"/>
      </w:pPr>
      <w:r>
        <w:rPr>
          <w:rFonts w:ascii="Arial" w:hAnsi="Arial"/>
          <w:color w:val="282828"/>
          <w:sz w:val="20"/>
        </w:rPr>
        <w:t>a) Tập thể SV hoặc cá nhân SV đoạt giải trong hoạt động học thuật như sau:</w:t>
      </w:r>
    </w:p>
    <w:p>
      <w:pPr>
        <w:spacing w:after="80" w:line="276" w:lineRule="auto"/>
      </w:pPr>
      <w:r>
        <w:rPr>
          <w:rFonts w:ascii="Arial" w:hAnsi="Arial"/>
          <w:color w:val="282828"/>
          <w:sz w:val="20"/>
        </w:rPr>
        <w:t>Giải nhất các cuộc thi học thuật cấp Khoa/Trường; Giải nhất, nhì, ba và khuyến khích các cuộc thi học thuật cấp ĐHQG, cấp thành, quốc gia, quốc tế.</w:t>
      </w:r>
    </w:p>
    <w:p>
      <w:pPr>
        <w:spacing w:after="80" w:line="276" w:lineRule="auto"/>
      </w:pPr>
      <w:r>
        <w:rPr>
          <w:rFonts w:ascii="Arial" w:hAnsi="Arial"/>
          <w:color w:val="282828"/>
          <w:sz w:val="20"/>
        </w:rPr>
        <w:t>b) Tập thể SV hoặc cá nhân SV đạt thành tích sau:</w:t>
      </w:r>
    </w:p>
    <w:p>
      <w:pPr>
        <w:spacing w:after="80" w:line="276" w:lineRule="auto"/>
      </w:pPr>
      <w:r>
        <w:rPr>
          <w:rFonts w:ascii="Arial" w:hAnsi="Arial"/>
          <w:color w:val="282828"/>
          <w:sz w:val="20"/>
        </w:rPr>
        <w:t>Có bài báo đăng trên các tạp chí/hội nghị khoa học trong và ngoài nước; Giải thưởng nghiên cứu khoa học cấp ĐHQG, cấp thành, quốc gia, quốc tế; Các thành tích nghiên cứu khoa học đặc biệt khác.</w:t>
      </w:r>
    </w:p>
    <w:p>
      <w:pPr>
        <w:spacing w:after="80" w:line="276" w:lineRule="auto"/>
      </w:pPr>
      <w:r>
        <w:rPr>
          <w:rFonts w:ascii="Arial" w:hAnsi="Arial"/>
          <w:color w:val="282828"/>
          <w:sz w:val="20"/>
        </w:rPr>
        <w:t>c) Tập thể SV hoặc cá nhân SV đóng góp có hiệu quả trong công tác Đảng, Đoàn thanh niên, Hội SV, trong hoạt động thanh niên xung kích, SV tình nguyện, giữ gìn an ninh trật tự, các hoạt động trong lớp, khoa, trong ký túc xá, hoạt động xã hội, văn hóa, văn nghệ, thể thao; d) Tập thể SV hoặc cá nhân SV có các thành tích đặc biệt khác (nếu có) sẽ do Hội đồng khen thưởng và kỷ luật sinh viên tham mưu Hiệu trưởng ra Quyết định.</w:t>
      </w:r>
    </w:p>
    <w:p>
      <w:pPr>
        <w:spacing w:before="120" w:after="40"/>
      </w:pPr>
      <w:r>
        <w:rPr>
          <w:rFonts w:ascii="Arial" w:hAnsi="Arial"/>
          <w:b/>
          <w:color w:val="1E4678"/>
          <w:sz w:val="22"/>
        </w:rPr>
        <w:t>Điều 6. Khen thưởng tốt nghiệp</w:t>
      </w:r>
    </w:p>
    <w:p>
      <w:pPr>
        <w:spacing w:after="80" w:line="276" w:lineRule="auto"/>
      </w:pPr>
      <w:r>
        <w:rPr>
          <w:rFonts w:ascii="Arial" w:hAnsi="Arial"/>
          <w:color w:val="282828"/>
          <w:sz w:val="20"/>
        </w:rPr>
        <w:t>1. Điều kiện khen thưởng: Việc xét khen thưởng được thực hiện vào cuối mỗi năm học và áp dụng chung cho toàn thể SV nếu SV đáp ứng đầy đủ các điều kiện sau:</w:t>
      </w:r>
    </w:p>
    <w:p>
      <w:pPr>
        <w:spacing w:after="80" w:line="276" w:lineRule="auto"/>
      </w:pPr>
      <w:r>
        <w:rPr>
          <w:rFonts w:ascii="Arial" w:hAnsi="Arial"/>
          <w:color w:val="282828"/>
          <w:sz w:val="20"/>
        </w:rPr>
        <w:t>a) Tốt nghiệp đúng hoặc sớm hơn tiến độ quy định. Trường hợp tốt nghiệp trễ tiến độ sẽ được đề xuất khen thưởng nếu như:</w:t>
      </w:r>
    </w:p>
    <w:p>
      <w:pPr>
        <w:spacing w:after="80" w:line="276" w:lineRule="auto"/>
      </w:pPr>
      <w:r>
        <w:rPr>
          <w:rFonts w:ascii="Arial" w:hAnsi="Arial"/>
          <w:color w:val="282828"/>
          <w:sz w:val="20"/>
        </w:rPr>
        <w:t>Trong thời gian học có tạm nghỉ học để tham gia chương trình trao đổi SV/nghiên cứu khoa học tại nước ngoài (có Quyết định của Trường cử đi) và có kết quả nghiên cứu khoa học cụ thể như bài báo khoa học, luận văn tốt nghiệp…; Trong thời gian học có tạm nghỉ học để điều trị bệnh (có giấy chứng nhận và hồ sơ của bệnh viện); Hoặc vì lý do khách quan khác do Hội đồng khen thưởng và kỷ luật sinh viên tham mưu Hiệu trưởng ra Quyết định.</w:t>
      </w:r>
    </w:p>
    <w:p>
      <w:pPr>
        <w:spacing w:after="80" w:line="276" w:lineRule="auto"/>
      </w:pPr>
      <w:r>
        <w:rPr>
          <w:rFonts w:ascii="Arial" w:hAnsi="Arial"/>
          <w:color w:val="282828"/>
          <w:sz w:val="20"/>
        </w:rPr>
        <w:t>b) Không nợ học phí; c) Không vi phạm các Quy chế, Quy định của Nhà trường; không bị kỷ luật trong suốt quá trình học; d) Điều kiện về điểm trung bình và xếp loại rèn luyện toàn khóa học được quy định tại Khoản 2 Điều này.</w:t>
      </w:r>
    </w:p>
    <w:p>
      <w:pPr>
        <w:spacing w:after="80" w:line="276" w:lineRule="auto"/>
      </w:pPr>
      <w:r>
        <w:rPr>
          <w:rFonts w:ascii="Arial" w:hAnsi="Arial"/>
          <w:color w:val="282828"/>
          <w:sz w:val="20"/>
        </w:rPr>
        <w:t>2. Tiêu chuẩn và danh hiệu khen thưởng a) SV tốt nghiệp có điểm trung bình khóa học cao nhất toàn trường và có Xếp loại rèn luyện toàn khóa học từ Khá trở lên được công nhận và khen thưởng với danh hiệu Thủ khoa Trường; b) SV tốt nghiệp có điểm trung bình khóa học cao nhất ngành học và có Xếp loại rèn luyện toàn khóa học từ Khá trở lên được công nhận và khen thưởng với danh hiệu Thủ khoa Ngành. Ngành đã có SV đạt danh hiệu Thủ Khoa Trường sẽ không xét Thủ khoa Ngành; c) SV tốt nghiệp có điểm trung bình khóa học từ 9.0 trở lên và có Xếp loại rèn luyện toàn khóa học từ Khá trở lên sẽ được khen thưởng thành tích tốt nghiệp loại Xuất sắc;</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