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78"/>
          <w:spacing w:val="24"/>
          <w:sz w:val="16"/>
          <w:szCs w:val="16"/>
        </w:rPr>
        <w:t xml:space="preserve">DECISION MEMO · REVISION A</w:t>
      </w:r>
    </w:p>
    <w:p>
      <w:pPr>
        <w:spacing w:after="80"/>
      </w:pPr>
      <w:r>
        <w:rPr>
          <w:b/>
          <w:bCs/>
          <w:color w:val="1a2332"/>
          <w:sz w:val="36"/>
          <w:szCs w:val="36"/>
        </w:rPr>
        <w:t xml:space="preserve">D2 Build Scheduler — Decisions Required Before Week 3</w:t>
      </w:r>
    </w:p>
    <w:p>
      <w:pPr>
        <w:pBdr>
          <w:bottom w:val="single" w:color="1a2332" w:sz="12"/>
        </w:pBdr>
        <w:spacing w:after="200"/>
      </w:pPr>
      <w:r>
        <w:rPr>
          <w:i/>
          <w:iCs/>
          <w:color w:val="5d6e77"/>
          <w:sz w:val="20"/>
          <w:szCs w:val="20"/>
        </w:rPr>
        <w:t xml:space="preserve">Prepared for D2 Pools · Stratirus · August 13, 2026</w:t>
      </w:r>
    </w:p>
    <w:p>
      <w:pPr>
        <w:pStyle w:val="Heading2"/>
        <w:spacing w:after="80" w:before="240"/>
      </w:pPr>
      <w:r>
        <w:rPr>
          <w:b/>
          <w:bCs/>
          <w:color w:val="1a2332"/>
          <w:sz w:val="22"/>
          <w:szCs w:val="22"/>
        </w:rPr>
        <w:t xml:space="preserve">Bottom line</w:t>
      </w:r>
    </w:p>
    <w:p>
      <w:pPr>
        <w:spacing w:after="120" w:before="0" w:line="300"/>
      </w:pPr>
      <w:r>
        <w:rPr>
          <w:sz w:val="22"/>
          <w:szCs w:val="22"/>
        </w:rPr>
        <w:t xml:space="preserve">Nine decisions block the week-3 data-migration milestone in the deployment plan. </w:t>
      </w:r>
      <w:r>
        <w:rPr>
          <w:b/>
          <w:bCs/>
          <w:sz w:val="22"/>
          <w:szCs w:val="22"/>
        </w:rPr>
        <w:t xml:space="preserve">Five are data gaps </w:t>
      </w:r>
      <w:r>
        <w:rPr>
          <w:sz w:val="22"/>
          <w:szCs w:val="22"/>
        </w:rPr>
        <w:t xml:space="preserve">documented in §09, </w:t>
      </w:r>
      <w:r>
        <w:rPr>
          <w:b/>
          <w:bCs/>
          <w:sz w:val="22"/>
          <w:szCs w:val="22"/>
        </w:rPr>
        <w:t xml:space="preserve">four are open questions </w:t>
      </w:r>
      <w:r>
        <w:rPr>
          <w:sz w:val="22"/>
          <w:szCs w:val="22"/>
        </w:rPr>
        <w:t xml:space="preserve">from §13. Recommended defaults for six; three need D2 input.</w:t>
      </w:r>
    </w:p>
    <w:p>
      <w:pPr>
        <w:spacing w:after="120" w:before="0" w:line="300"/>
      </w:pPr>
      <w:r>
        <w:rPr>
          <w:sz w:val="22"/>
          <w:szCs w:val="22"/>
        </w:rPr>
        <w:t xml:space="preserve">Licensing has changed since the plan was written: </w:t>
      </w:r>
      <w:r>
        <w:rPr>
          <w:b/>
          <w:bCs/>
          <w:color w:val="a84a18"/>
          <w:sz w:val="22"/>
          <w:szCs w:val="22"/>
        </w:rPr>
        <w:t xml:space="preserve">the Power Apps per-app SKU is retired for new customers as of January 2, 2026</w:t>
      </w:r>
      <w:r>
        <w:rPr>
          <w:sz w:val="22"/>
          <w:szCs w:val="22"/>
        </w:rPr>
        <w:t xml:space="preserve">. Monthly cost lands at the same ~$402 as the original estimate, but for different reasons — full breakdown in §3.</w:t>
      </w:r>
    </w:p>
    <w:p>
      <w:pPr>
        <w:pStyle w:val="Heading2"/>
        <w:spacing w:after="80" w:before="240"/>
      </w:pPr>
      <w:r>
        <w:rPr>
          <w:b/>
          <w:bCs/>
          <w:color w:val="1a2332"/>
          <w:sz w:val="22"/>
          <w:szCs w:val="22"/>
        </w:rPr>
        <w:t xml:space="preserve">1 · Data gaps (§09) — 5 decisions</w:t>
      </w:r>
    </w:p>
    <w:p>
      <w:pPr>
        <w:spacing w:after="120" w:before="0" w:line="300"/>
      </w:pPr>
      <w:r>
        <w:rPr>
          <w:sz w:val="22"/>
          <w:szCs w:val="22"/>
        </w:rPr>
        <w:t xml:space="preserve">Each item below blocks a specific week in the rollout. All five must be resolved before the ~450 template rows can be loaded into Dev.</w:t>
      </w:r>
    </w:p>
    <w:tbl>
      <w:tblPr>
        <w:tblW w:type="dxa" w:w="11100"/>
        <w:tblBorders>
          <w:top w:val="single" w:color="1a2332" w:sz="8"/>
          <w:left w:val="none"/>
          <w:bottom w:val="single" w:color="1a2332" w:sz="8"/>
          <w:right w:val="none"/>
          <w:insideH w:val="single" w:color="d6dcde" w:sz="3"/>
          <w:insideV w:val="none"/>
        </w:tblBorders>
      </w:tblPr>
      <w:tblGrid>
        <w:gridCol w:w="700"/>
        <w:gridCol w:w="1900"/>
        <w:gridCol w:w="2600"/>
        <w:gridCol w:w="3200"/>
        <w:gridCol w:w="2700"/>
      </w:tblGrid>
      <w:tr>
        <w:trPr>
          <w:tblHeader/>
        </w:trPr>
        <w:tc>
          <w:tcPr>
            <w:tcW w:type="dxa" w:w="7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Gap</w:t>
            </w:r>
          </w:p>
        </w:tc>
        <w:tc>
          <w:tcPr>
            <w:tcW w:type="dxa" w:w="26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Detail</w:t>
            </w:r>
          </w:p>
        </w:tc>
        <w:tc>
          <w:tcPr>
            <w:tcW w:type="dxa" w:w="32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27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Impact if unresolved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1.1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Four crews have no size or roster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George, Armondo, STL Shotcrete, Brothers.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D2 supplies roster. If a crew is a solo or a sub, mark it as a 1-person crew or a subcontractor entry.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Auto-Schedule will still assign work — but resource planning and mobile app scoping will be wrong for those crews.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1.2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Ten trades map to no sub-phase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Forms, Grading, Water Line Install, Pavers, Retaining Walls, CMU Block, Brick/Masonry, Veneer/Stone, Landscaping, Material Runs.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Two paths: (a) add new sub-phases to the template if D2's process actually does this work in-house, or (b) delete the unmapped trades. Retaining Walls and Veneer most likely belong under 5.6 Deck Placement; Forms under 2.2 Steel Installation.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George Crew is scheduled ZERO days of work today because their only trades are unmapped. This is the single most consequential gap.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1.3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Finish Grade assignment on Saul &amp; Guillermo is inferred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Cirilo is the only crew explicitly excluded from Finish Grade on the D2 crew list. The tool assumes all other crews can do it.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D2 confirms or corrects for each of the 13 field crews. Uncheck the trade on the Crews tab where wrong.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Wrong assignment shows up as under-utilization of specialists and idle time on the wrong crews.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1.4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Eleven sub-phases sit in Unassigned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The field supervision and QC items (1.1 through 1.4 in Pre-Construction, etc.).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Recommendation: create a 'PM' capacity-exempt bucket in the Crews tab (like Main Office / Subcontractor), assign all 11 there. This is the cheapest resolution for the browser tool AND for the Power Platform build.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Sub-phases in Unassigned block Auto-Schedule from completing a job's plan and produce 11 warnings per pool.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1.5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All 46 durations are a 2-day placeholder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No sub-phase has a real duration.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Do NOT try to fix this before go-live. Migrate as-is; use the Power BI 'actual vs. planned' report to measure durations from the first 3-5 pools, then update the template.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Blocks quoting a customer a finish date but does not block system rollout. Only becomes urgent at §11 week 13.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1a2332"/>
          <w:sz w:val="22"/>
          <w:szCs w:val="22"/>
        </w:rPr>
        <w:t xml:space="preserve">2 · Open decisions (§13) — 4 decisions</w:t>
      </w:r>
    </w:p>
    <w:tbl>
      <w:tblPr>
        <w:tblW w:type="dxa" w:w="11100"/>
        <w:tblBorders>
          <w:top w:val="single" w:color="1a2332" w:sz="8"/>
          <w:left w:val="none"/>
          <w:bottom w:val="single" w:color="1a2332" w:sz="8"/>
          <w:right w:val="none"/>
          <w:insideH w:val="single" w:color="d6dcde" w:sz="3"/>
          <w:insideV w:val="none"/>
        </w:tblBorders>
      </w:tblPr>
      <w:tblGrid>
        <w:gridCol w:w="700"/>
        <w:gridCol w:w="2900"/>
        <w:gridCol w:w="5000"/>
        <w:gridCol w:w="2500"/>
      </w:tblGrid>
      <w:tr>
        <w:trPr>
          <w:tblHeader/>
        </w:trPr>
        <w:tc>
          <w:tcPr>
            <w:tcW w:type="dxa" w:w="7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Decision</w:t>
            </w:r>
          </w:p>
        </w:tc>
        <w:tc>
          <w:tcPr>
            <w:tcW w:type="dxa" w:w="50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5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2.1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Should a PM crew bucket exist?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YES — recommended. Clears 11 unassigned sub-phases at zero cost; matches the capacity-exempt pattern already used for Main Office and Subcontractor.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D2 owner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2.2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Where do the 10 unmapped trades belong?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Session with D2 field supervisor to map each trade to an existing sub-phase or a new one. See 1.2. This is a 30-minute conversation with the right person.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D2 field supervisor + Stratirus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2.3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Per-app vs. Premium for crew leads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MOOT — per-app is retired for new customers. Premium at $20/user/mo for all 10 crew leads. See §3. No savings option remains on this line.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Auto-resolved by MS licensing change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2.4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Who builds it?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Stratirus recommends internal-plus-partner: Stratirus scopes and architects, D2 identifies an internal maker for ongoing changes, Stratirus stays on retainer for the flow and BI work. Alternative: full Microsoft partner build at higher cost but no D2 skills dependency.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D2 leadership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1a2332"/>
          <w:sz w:val="22"/>
          <w:szCs w:val="22"/>
        </w:rPr>
        <w:t xml:space="preserve">3 · Licensing — verified August 2026</w:t>
      </w:r>
    </w:p>
    <w:p>
      <w:pPr>
        <w:spacing w:after="120" w:before="0" w:line="300"/>
      </w:pPr>
      <w:r>
        <w:rPr>
          <w:b/>
          <w:bCs/>
          <w:color w:val="a84a18"/>
          <w:sz w:val="22"/>
          <w:szCs w:val="22"/>
        </w:rPr>
        <w:t xml:space="preserve">Critical change: </w:t>
      </w:r>
      <w:r>
        <w:rPr>
          <w:sz w:val="22"/>
          <w:szCs w:val="22"/>
        </w:rPr>
        <w:t xml:space="preserve">Power Apps per-app SKU (was $5/user/app/mo) is no longer available to new customers as of January 2, 2026. </w:t>
      </w:r>
      <w:r>
        <w:rPr>
          <w:sz w:val="22"/>
          <w:szCs w:val="22"/>
        </w:rPr>
        <w:t xml:space="preserve">The deployment plan's contingency to run crew leads on per-app for ~$150/mo savings is off the table. Premium at $20/user/mo is now the only sensible option for daily-use field workers.</w:t>
      </w:r>
    </w:p>
    <w:p>
      <w:pPr>
        <w:pStyle w:val="Heading3"/>
        <w:spacing w:after="60" w:before="180"/>
      </w:pPr>
      <w:r>
        <w:rPr>
          <w:b/>
          <w:bCs/>
          <w:color w:val="0b6e78"/>
          <w:sz w:val="20"/>
          <w:szCs w:val="20"/>
        </w:rPr>
        <w:t xml:space="preserve">Refreshed monthly cost — 21 users</w:t>
      </w:r>
    </w:p>
    <w:tbl>
      <w:tblPr>
        <w:tblW w:type="dxa" w:w="11100"/>
        <w:tblBorders>
          <w:top w:val="single" w:color="1a2332" w:sz="8"/>
          <w:left w:val="none"/>
          <w:bottom w:val="single" w:color="1a2332" w:sz="8"/>
          <w:right w:val="none"/>
          <w:insideH w:val="single" w:color="d6dcde" w:sz="3"/>
          <w:insideV w:val="none"/>
        </w:tblBorders>
      </w:tblPr>
      <w:tblGrid>
        <w:gridCol w:w="3600"/>
        <w:gridCol w:w="900"/>
        <w:gridCol w:w="1500"/>
        <w:gridCol w:w="1500"/>
        <w:gridCol w:w="3600"/>
      </w:tblGrid>
      <w:tr>
        <w:trPr>
          <w:tblHeader/>
        </w:trPr>
        <w:tc>
          <w:tcPr>
            <w:tcW w:type="dxa" w:w="36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Licence</w:t>
            </w:r>
          </w:p>
        </w:tc>
        <w:tc>
          <w:tcPr>
            <w:tcW w:type="dxa" w:w="9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Per user / mo</w:t>
            </w:r>
          </w:p>
        </w:tc>
        <w:tc>
          <w:tcPr>
            <w:tcW w:type="dxa" w:w="15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Monthly</w:t>
            </w:r>
          </w:p>
        </w:tc>
        <w:tc>
          <w:tcPr>
            <w:tcW w:type="dxa" w:w="36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Power Apps Premium — office &amp; PMs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$20.00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$160.00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Unchanged from plan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Power Apps Premium — crew leads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$20.00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$200.00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Was $5 per-app; now Premium (per-app retired)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Power BI Pro — ownership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$14.00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$42.00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Confirmed at $14 (raised April 2025)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Managed Environments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included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$0.00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Free entitlement with Premium licenses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Dataverse capacity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included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$0.00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20 GB base + 250 MB per Premium seat. D2 uses &lt;20 MB/yr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$402.00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300"/>
      </w:pPr>
      <w:r>
        <w:t xml:space="preserve"/>
      </w:r>
    </w:p>
    <w:p>
      <w:pPr>
        <w:spacing w:after="120" w:before="0" w:line="300"/>
      </w:pPr>
      <w:r>
        <w:rPr>
          <w:b/>
          <w:bCs/>
          <w:sz w:val="22"/>
          <w:szCs w:val="22"/>
        </w:rPr>
        <w:t xml:space="preserve">Net effect on the budget: </w:t>
      </w:r>
      <w:r>
        <w:rPr>
          <w:sz w:val="22"/>
          <w:szCs w:val="22"/>
        </w:rPr>
        <w:t xml:space="preserve">the plan's $402 headline holds, but the plan's optional $150/mo savings path is gone. Annual: </w:t>
      </w:r>
      <w:r>
        <w:rPr>
          <w:b/>
          <w:bCs/>
          <w:sz w:val="22"/>
          <w:szCs w:val="22"/>
        </w:rPr>
        <w:t xml:space="preserve">$4,824.</w:t>
      </w:r>
      <w:r>
        <w:rPr>
          <w:sz w:val="22"/>
          <w:szCs w:val="22"/>
        </w:rPr>
        <w:t xml:space="preserve"> A three-year commitment through EA channels may reduce this ~10-15%; verify with MS reseller before signing.</w:t>
      </w:r>
    </w:p>
    <w:p>
      <w:pPr>
        <w:pStyle w:val="Heading3"/>
        <w:spacing w:after="60" w:before="180"/>
      </w:pPr>
      <w:r>
        <w:rPr>
          <w:b/>
          <w:bCs/>
          <w:color w:val="0b6e78"/>
          <w:sz w:val="20"/>
          <w:szCs w:val="20"/>
        </w:rPr>
        <w:t xml:space="preserve">Offline capability — confirmed viable</w:t>
      </w:r>
    </w:p>
    <w:p>
      <w:pPr>
        <w:spacing w:after="120" w:before="0" w:line="300"/>
      </w:pPr>
      <w:r>
        <w:rPr>
          <w:sz w:val="22"/>
          <w:szCs w:val="22"/>
        </w:rPr>
        <w:t xml:space="preserve">The plan's canvas-app offline design fits within Microsoft's documented offline limits: Dataverse-only tables (checked), standalone canvas app (checked), no Relate/Unrelate functions (checked), under 3 million records (checked, ~450 rows per pool × ~40 pools/yr = 18,000). One caveat to note in build: the field app must not use many-to-many relationships or nested lookups beyond one level.</w:t>
      </w:r>
    </w:p>
    <w:p>
      <w:pPr>
        <w:pStyle w:val="Heading2"/>
        <w:spacing w:after="80" w:before="240"/>
      </w:pPr>
      <w:r>
        <w:rPr>
          <w:b/>
          <w:bCs/>
          <w:color w:val="1a2332"/>
          <w:sz w:val="22"/>
          <w:szCs w:val="22"/>
        </w:rPr>
        <w:t xml:space="preserve">4 · Deadlines</w:t>
      </w:r>
    </w:p>
    <w:tbl>
      <w:tblPr>
        <w:tblW w:type="dxa" w:w="11000"/>
        <w:tblBorders>
          <w:top w:val="single" w:color="1a2332" w:sz="8"/>
          <w:left w:val="none"/>
          <w:bottom w:val="single" w:color="1a2332" w:sz="8"/>
          <w:right w:val="none"/>
          <w:insideH w:val="single" w:color="d6dcde" w:sz="3"/>
          <w:insideV w:val="none"/>
        </w:tblBorders>
      </w:tblPr>
      <w:tblGrid>
        <w:gridCol w:w="4200"/>
        <w:gridCol w:w="2500"/>
        <w:gridCol w:w="4300"/>
      </w:tblGrid>
      <w:tr>
        <w:trPr>
          <w:tblHeader/>
        </w:trPr>
        <w:tc>
          <w:tcPr>
            <w:tcW w:type="dxa" w:w="42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Item</w:t>
            </w:r>
          </w:p>
        </w:tc>
        <w:tc>
          <w:tcPr>
            <w:tcW w:type="dxa" w:w="25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Deadline</w:t>
            </w:r>
          </w:p>
        </w:tc>
        <w:tc>
          <w:tcPr>
            <w:tcW w:type="dxa" w:w="4300"/>
            <w:shd w:fill="f0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5d6e77"/>
                <w:sz w:val="18"/>
                <w:szCs w:val="18"/>
              </w:rPr>
              <w:t xml:space="preserve">What it blocks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Data gap 1.1 (crew rosters)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End of Week 2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Blocks §11 data migration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Data gap 1.2 (10 unmapped trades)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End of Week 2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Blocks §11 data migration + George Crew idle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Data gap 1.3 (Finish Grade assignments)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End of Week 2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Blocks §11 data migration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Data gap 1.4 (11 Unassigned sub-phases)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End of Week 2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Blocks §11 data migration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Data gap 1.5 (durations)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Week 13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Blocks quoting customer finish dates only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Decision 2.1 (PM crew)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End of Week 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Feeds 1.4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Decision 2.2 (trade mapping)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End of Week 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Feeds 1.2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Decision 2.4 (build ownership)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End of Week 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Determines scope of work</w:t>
            </w:r>
          </w:p>
        </w:tc>
      </w:tr>
    </w:tbl>
    <w:p>
      <w:pPr>
        <w:spacing w:after="400" w:before="0" w:line="300"/>
      </w:pPr>
      <w:r>
        <w:t xml:space="preserve"/>
      </w:r>
    </w:p>
    <w:p>
      <w:pPr>
        <w:pBdr>
          <w:bottom w:val="single" w:color="d6dcde" w:sz="6"/>
        </w:pBdr>
        <w:spacing w:after="200" w:before="100"/>
      </w:pPr>
    </w:p>
    <w:p>
      <w:pPr>
        <w:spacing w:after="120" w:before="0" w:line="300"/>
      </w:pPr>
      <w:r>
        <w:rPr>
          <w:color w:val="5d6e77"/>
          <w:sz w:val="20"/>
          <w:szCs w:val="20"/>
        </w:rPr>
        <w:t xml:space="preserve">Prepared by </w:t>
      </w:r>
      <w:r>
        <w:rPr>
          <w:b/>
          <w:bCs/>
          <w:color w:val="1a2332"/>
          <w:sz w:val="20"/>
          <w:szCs w:val="20"/>
        </w:rPr>
        <w:t xml:space="preserve">Shane Talbot</w:t>
      </w:r>
      <w:r>
        <w:rPr>
          <w:color w:val="5d6e77"/>
          <w:sz w:val="20"/>
          <w:szCs w:val="20"/>
        </w:rPr>
        <w:t xml:space="preserve"> · VP of AI Solutions · Stratirus · stalbot@stratirus.com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 Build Scheduler — Decisions Required Before Week 3</dc:title>
  <dc:creator>Stratirus</dc:creator>
  <cp:lastModifiedBy>Un-named</cp:lastModifiedBy>
  <cp:revision>1</cp:revision>
  <dcterms:created xsi:type="dcterms:W3CDTF">2026-08-13T20:31:51.141Z</dcterms:created>
  <dcterms:modified xsi:type="dcterms:W3CDTF">2026-08-13T20:31:51.141Z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