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1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216167">
        <w:t>27</w:t>
      </w:r>
      <w:r w:rsidR="0013167B">
        <w:t>.4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AA1E1E" w:rsidRDefault="00A177A4" w:rsidP="00834431">
      <w:pPr>
        <w:spacing w:line="360" w:lineRule="auto"/>
        <w:rPr>
          <w:lang w:val="de-DE"/>
        </w:rPr>
      </w:pPr>
      <w:r w:rsidRPr="00AA1E1E">
        <w:rPr>
          <w:b/>
          <w:lang w:val="de-DE"/>
        </w:rPr>
        <w:t>Location:</w:t>
      </w:r>
      <w:r w:rsidR="009E72E6" w:rsidRPr="00AA1E1E">
        <w:rPr>
          <w:lang w:val="de-DE"/>
        </w:rPr>
        <w:tab/>
        <w:t>KN:E-126</w:t>
      </w:r>
    </w:p>
    <w:p w:rsidR="00A177A4" w:rsidRPr="005636F8" w:rsidRDefault="00A177A4" w:rsidP="00834431">
      <w:pPr>
        <w:spacing w:line="360" w:lineRule="auto"/>
        <w:ind w:left="1440" w:hanging="1440"/>
      </w:pPr>
      <w:r w:rsidRPr="005636F8">
        <w:rPr>
          <w:b/>
        </w:rPr>
        <w:t>Present:</w:t>
      </w:r>
      <w:r w:rsidR="009E72E6" w:rsidRPr="005636F8">
        <w:rPr>
          <w:b/>
        </w:rPr>
        <w:tab/>
      </w:r>
      <w:proofErr w:type="spellStart"/>
      <w:r w:rsidR="00E86625" w:rsidRPr="005636F8">
        <w:t>Yevgeniya</w:t>
      </w:r>
      <w:proofErr w:type="spellEnd"/>
      <w:r w:rsidR="00E86625" w:rsidRPr="005636F8">
        <w:t xml:space="preserve"> </w:t>
      </w:r>
      <w:proofErr w:type="spellStart"/>
      <w:r w:rsidR="00E86625" w:rsidRPr="005636F8">
        <w:t>Chekh</w:t>
      </w:r>
      <w:proofErr w:type="spellEnd"/>
      <w:r w:rsidR="00E86625" w:rsidRPr="005636F8">
        <w:t xml:space="preserve">, Jan </w:t>
      </w:r>
      <w:proofErr w:type="spellStart"/>
      <w:r w:rsidR="00E86625" w:rsidRPr="005636F8">
        <w:t>Kohout</w:t>
      </w:r>
      <w:proofErr w:type="spellEnd"/>
      <w:r w:rsidR="00E86625" w:rsidRPr="005636F8">
        <w:t xml:space="preserve">, David </w:t>
      </w:r>
      <w:proofErr w:type="spellStart"/>
      <w:r w:rsidR="00E86625" w:rsidRPr="005636F8">
        <w:t>Löffler</w:t>
      </w:r>
      <w:proofErr w:type="spellEnd"/>
      <w:r w:rsidR="00E86625" w:rsidRPr="005636F8">
        <w:t xml:space="preserve">, </w:t>
      </w:r>
      <w:r w:rsidR="00DD5B2C" w:rsidRPr="005636F8">
        <w:t xml:space="preserve">Marek Szeles, </w:t>
      </w:r>
      <w:r w:rsidR="00834431" w:rsidRPr="005636F8">
        <w:br/>
      </w:r>
      <w:r w:rsidR="00DD5B2C" w:rsidRPr="005636F8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3044A5">
        <w:t xml:space="preserve">Miroslav </w:t>
      </w:r>
      <w:proofErr w:type="spellStart"/>
      <w:r w:rsidR="003044A5">
        <w:t>Rudišin</w:t>
      </w:r>
      <w:proofErr w:type="spellEnd"/>
      <w:r w:rsidR="00216167">
        <w:t xml:space="preserve">, </w:t>
      </w:r>
      <w:proofErr w:type="spellStart"/>
      <w:r w:rsidR="00216167">
        <w:t>Kryštof</w:t>
      </w:r>
      <w:proofErr w:type="spellEnd"/>
      <w:r w:rsidR="00216167">
        <w:t xml:space="preserve"> </w:t>
      </w:r>
      <w:proofErr w:type="spellStart"/>
      <w:r w:rsidR="00216167">
        <w:t>Sýkora</w:t>
      </w:r>
      <w:proofErr w:type="spellEnd"/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216167">
        <w:t>Ho Minh Thanh</w:t>
      </w:r>
    </w:p>
    <w:p w:rsidR="00F83FD9" w:rsidRDefault="00F83FD9" w:rsidP="00834431">
      <w:pPr>
        <w:pStyle w:val="Heading2"/>
      </w:pPr>
      <w:r w:rsidRPr="00DD5B2C">
        <w:t>Overview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E37580" w:rsidP="00834431">
            <w:r>
              <w:t>Consult current project status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C438D2" w:rsidP="00834431">
            <w:r>
              <w:t>Overview development progress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7515E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7B6A60" w:rsidP="00834431">
            <w:r>
              <w:t>Preparation of status report of next week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B6A60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We’ve reviewed the changes made to project plan last week and are </w:t>
            </w:r>
            <w:r>
              <w:rPr>
                <w:bCs/>
                <w:sz w:val="22"/>
                <w:szCs w:val="22"/>
              </w:rPr>
              <w:lastRenderedPageBreak/>
              <w:t xml:space="preserve">now working with the </w:t>
            </w:r>
            <w:proofErr w:type="spellStart"/>
            <w:r>
              <w:rPr>
                <w:bCs/>
                <w:sz w:val="22"/>
                <w:szCs w:val="22"/>
              </w:rPr>
              <w:t>asumpsion</w:t>
            </w:r>
            <w:proofErr w:type="spellEnd"/>
            <w:r>
              <w:rPr>
                <w:bCs/>
                <w:sz w:val="22"/>
                <w:szCs w:val="22"/>
              </w:rPr>
              <w:t xml:space="preserve"> that we will finish translation state of the project by week twelve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lastRenderedPageBreak/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7B6A60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have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recognised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possible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change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request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candidate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that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IO and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posix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modules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may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not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be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needed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for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translation</w:t>
            </w:r>
            <w:proofErr w:type="spellEnd"/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515E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33611" w:rsidRPr="00834431" w:rsidRDefault="00A562F2" w:rsidP="00E37580">
            <w:r>
              <w:t>We will create a presentation for the next week workshop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562F2" w:rsidP="00834431">
            <w:pPr>
              <w:jc w:val="center"/>
            </w:pPr>
            <w:proofErr w:type="spellStart"/>
            <w:r>
              <w:t>Desicion</w:t>
            </w:r>
            <w:proofErr w:type="spellEnd"/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9B6090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  <w:r w:rsidRPr="004C103C">
              <w:rPr>
                <w:color w:val="000000"/>
              </w:rPr>
              <w:t>7.1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 xml:space="preserve">Replace SAT and </w:t>
            </w:r>
            <w:proofErr w:type="spellStart"/>
            <w:r w:rsidRPr="004C103C">
              <w:rPr>
                <w:color w:val="000000"/>
              </w:rPr>
              <w:t>miniSAT</w:t>
            </w:r>
            <w:proofErr w:type="spellEnd"/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A562F2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state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Miroslav </w:t>
            </w:r>
            <w:proofErr w:type="spellStart"/>
            <w:r>
              <w:rPr>
                <w:color w:val="000000"/>
                <w:sz w:val="20"/>
              </w:rPr>
              <w:t>Rudišin</w:t>
            </w:r>
            <w:proofErr w:type="spellEnd"/>
            <w:r w:rsidRPr="004C103C">
              <w:rPr>
                <w:color w:val="000000"/>
                <w:sz w:val="20"/>
              </w:rPr>
              <w:br/>
            </w:r>
            <w:proofErr w:type="spellStart"/>
            <w:r w:rsidRPr="004C103C">
              <w:rPr>
                <w:color w:val="000000"/>
                <w:sz w:val="20"/>
              </w:rPr>
              <w:t>Kryštof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development status assessment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r>
              <w:t>Prepare project overview for presentation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sz w:val="20"/>
                <w:szCs w:val="20"/>
              </w:rPr>
            </w:pPr>
            <w:r w:rsidRPr="00A562F2">
              <w:rPr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  <w:rPr>
                <w:bCs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  <w:r>
              <w:t>20.3.2017</w:t>
            </w:r>
          </w:p>
        </w:tc>
      </w:tr>
      <w:tr w:rsidR="009B6090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  <w:r>
              <w:rPr>
                <w:color w:val="000000"/>
              </w:rPr>
              <w:t>Prepare new project materials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4C103C" w:rsidRDefault="009B6090" w:rsidP="00A562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A562F2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Translate the “Bookkeeping”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r>
              <w:t xml:space="preserve">Evgeniya </w:t>
            </w:r>
            <w:proofErr w:type="spellStart"/>
            <w: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27. 4. 2017</w:t>
            </w:r>
          </w:p>
        </w:tc>
      </w:tr>
      <w:tr w:rsidR="00A562F2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  <w:r>
              <w:t>Make test stubs for Java/Original code comparison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  <w:r w:rsidRPr="00A562F2"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</w:pPr>
            <w:r>
              <w:t>27.4.2017/</w:t>
            </w:r>
          </w:p>
          <w:p w:rsidR="00A562F2" w:rsidRDefault="00A562F2" w:rsidP="00A562F2">
            <w:pPr>
              <w:jc w:val="center"/>
              <w:rPr>
                <w:color w:val="000000"/>
              </w:rPr>
            </w:pPr>
            <w:r>
              <w:t>4. 5. 2017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636F8" w:rsidP="003044A5">
            <w:r>
              <w:t>Finish “State” module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A562F2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</w:t>
            </w:r>
            <w:bookmarkStart w:id="0" w:name="_GoBack"/>
            <w:bookmarkEnd w:id="0"/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27. 4. 2017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BF0CB9" w:rsidP="005636F8">
            <w:r>
              <w:t>Make te</w:t>
            </w:r>
            <w:r w:rsidR="005636F8">
              <w:t>st stubs for Java/Original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5636F8" w:rsidP="00DA695B">
            <w:pPr>
              <w:jc w:val="center"/>
            </w:pPr>
            <w: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BF0CB9" w:rsidP="0013361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  <w:p w:rsidR="00A562F2" w:rsidRPr="00834431" w:rsidRDefault="00A562F2" w:rsidP="00133611">
            <w:pPr>
              <w:jc w:val="center"/>
            </w:pPr>
            <w:r>
              <w:t xml:space="preserve">Evgeniya </w:t>
            </w:r>
            <w:proofErr w:type="spellStart"/>
            <w: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5E30F5" w:rsidRDefault="005E30F5" w:rsidP="005E30F5">
            <w:pPr>
              <w:jc w:val="center"/>
            </w:pPr>
            <w:r>
              <w:t>27.4.2017/</w:t>
            </w:r>
          </w:p>
          <w:p w:rsidR="007A71B7" w:rsidRPr="00834431" w:rsidRDefault="005E30F5" w:rsidP="005E30F5">
            <w:pPr>
              <w:jc w:val="center"/>
            </w:pPr>
            <w:r>
              <w:t>4</w:t>
            </w:r>
            <w:r w:rsidR="00BF0CB9">
              <w:t xml:space="preserve">. </w:t>
            </w:r>
            <w:r>
              <w:t>5</w:t>
            </w:r>
            <w:r w:rsidR="00BF0CB9">
              <w:t>. 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9023F4" w:rsidRDefault="008F108A" w:rsidP="00C42AC2">
      <w:pPr>
        <w:numPr>
          <w:ilvl w:val="0"/>
          <w:numId w:val="3"/>
        </w:numPr>
      </w:pPr>
      <w:r>
        <w:t>Present current status</w:t>
      </w:r>
      <w:r w:rsidR="005636F8">
        <w:t xml:space="preserve"> to </w:t>
      </w:r>
      <w:proofErr w:type="spellStart"/>
      <w:r w:rsidR="005636F8">
        <w:t>Bestoun</w:t>
      </w:r>
      <w:proofErr w:type="spellEnd"/>
      <w:r w:rsidR="005636F8">
        <w:t xml:space="preserve"> S. Ahmed</w:t>
      </w:r>
    </w:p>
    <w:p w:rsidR="005F3B47" w:rsidRPr="005F3B47" w:rsidRDefault="005F3B47" w:rsidP="005F3B47">
      <w:pPr>
        <w:pStyle w:val="Heading2"/>
      </w:pPr>
      <w:r>
        <w:lastRenderedPageBreak/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7515E4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5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B86536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Evgeniya</w:t>
            </w: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76" w:rsidRDefault="00654576" w:rsidP="00834431">
      <w:r>
        <w:separator/>
      </w:r>
    </w:p>
  </w:endnote>
  <w:endnote w:type="continuationSeparator" w:id="0">
    <w:p w:rsidR="00654576" w:rsidRDefault="00654576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DD5B2C" w:rsidRDefault="00AA1E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2F3584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2F3584">
      <w:rPr>
        <w:noProof/>
      </w:rPr>
      <w:t>3</w:t>
    </w:r>
    <w:r w:rsidRPr="00DD5B2C">
      <w:rPr>
        <w:sz w:val="24"/>
        <w:szCs w:val="24"/>
      </w:rPr>
      <w:fldChar w:fldCharType="end"/>
    </w:r>
  </w:p>
  <w:p w:rsidR="00AA1E1E" w:rsidRPr="00DD5B2C" w:rsidRDefault="00AA1E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76" w:rsidRDefault="00654576" w:rsidP="00834431">
      <w:r>
        <w:separator/>
      </w:r>
    </w:p>
  </w:footnote>
  <w:footnote w:type="continuationSeparator" w:id="0">
    <w:p w:rsidR="00654576" w:rsidRDefault="00654576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CF5453" w:rsidRDefault="00AA1E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AA1E1E" w:rsidRPr="001668BD" w:rsidRDefault="00AA1E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167B"/>
    <w:rsid w:val="00133611"/>
    <w:rsid w:val="0015635F"/>
    <w:rsid w:val="001668BD"/>
    <w:rsid w:val="00213E4A"/>
    <w:rsid w:val="00216167"/>
    <w:rsid w:val="002B112E"/>
    <w:rsid w:val="002F3584"/>
    <w:rsid w:val="003044A5"/>
    <w:rsid w:val="00324686"/>
    <w:rsid w:val="003530AD"/>
    <w:rsid w:val="003B38B3"/>
    <w:rsid w:val="00461F94"/>
    <w:rsid w:val="00490974"/>
    <w:rsid w:val="005006AB"/>
    <w:rsid w:val="00505B21"/>
    <w:rsid w:val="005138FC"/>
    <w:rsid w:val="00513D20"/>
    <w:rsid w:val="005365FF"/>
    <w:rsid w:val="005636F8"/>
    <w:rsid w:val="00570E63"/>
    <w:rsid w:val="005E30F5"/>
    <w:rsid w:val="005F3B47"/>
    <w:rsid w:val="00601F3D"/>
    <w:rsid w:val="00654576"/>
    <w:rsid w:val="006D0901"/>
    <w:rsid w:val="00703795"/>
    <w:rsid w:val="007152E3"/>
    <w:rsid w:val="00717714"/>
    <w:rsid w:val="007515E4"/>
    <w:rsid w:val="007715E4"/>
    <w:rsid w:val="007A71B7"/>
    <w:rsid w:val="007A7C20"/>
    <w:rsid w:val="007B6A60"/>
    <w:rsid w:val="007D40B0"/>
    <w:rsid w:val="00800EB1"/>
    <w:rsid w:val="00834431"/>
    <w:rsid w:val="00873B3E"/>
    <w:rsid w:val="008C0307"/>
    <w:rsid w:val="008F108A"/>
    <w:rsid w:val="009023F4"/>
    <w:rsid w:val="00970332"/>
    <w:rsid w:val="009B6090"/>
    <w:rsid w:val="009E72E6"/>
    <w:rsid w:val="00A177A4"/>
    <w:rsid w:val="00A562F2"/>
    <w:rsid w:val="00A622D3"/>
    <w:rsid w:val="00A64AFB"/>
    <w:rsid w:val="00AA1E1E"/>
    <w:rsid w:val="00AB6692"/>
    <w:rsid w:val="00AC1603"/>
    <w:rsid w:val="00B24363"/>
    <w:rsid w:val="00B37556"/>
    <w:rsid w:val="00B62C8E"/>
    <w:rsid w:val="00B843D0"/>
    <w:rsid w:val="00B86536"/>
    <w:rsid w:val="00B87B81"/>
    <w:rsid w:val="00B92C65"/>
    <w:rsid w:val="00B92EE0"/>
    <w:rsid w:val="00BC5CDC"/>
    <w:rsid w:val="00BE13B0"/>
    <w:rsid w:val="00BE19FE"/>
    <w:rsid w:val="00BF0CB9"/>
    <w:rsid w:val="00C42AC2"/>
    <w:rsid w:val="00C438D2"/>
    <w:rsid w:val="00CF5453"/>
    <w:rsid w:val="00D15E4F"/>
    <w:rsid w:val="00D60482"/>
    <w:rsid w:val="00D63787"/>
    <w:rsid w:val="00DA569C"/>
    <w:rsid w:val="00DA695B"/>
    <w:rsid w:val="00DD5B2C"/>
    <w:rsid w:val="00E11D24"/>
    <w:rsid w:val="00E2449D"/>
    <w:rsid w:val="00E37580"/>
    <w:rsid w:val="00E83FD2"/>
    <w:rsid w:val="00E86625"/>
    <w:rsid w:val="00F06C38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A7E751F7-0AA3-482C-B7AD-25001D6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F74FB-A78C-42B4-8BB5-5E3AD67E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1938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dc:description/>
  <cp:lastModifiedBy>Szeles Marek</cp:lastModifiedBy>
  <cp:revision>6</cp:revision>
  <cp:lastPrinted>2017-03-05T23:06:00Z</cp:lastPrinted>
  <dcterms:created xsi:type="dcterms:W3CDTF">2017-03-05T21:10:00Z</dcterms:created>
  <dcterms:modified xsi:type="dcterms:W3CDTF">2017-04-29T12:32:00Z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