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Projet PLAYMORE</w:t>
      </w:r>
    </w:p>
    <w:p w:rsidR="00000000" w:rsidDel="00000000" w:rsidP="00000000" w:rsidRDefault="00000000" w:rsidRPr="00000000" w14:paraId="00000001">
      <w:pPr>
        <w:jc w:val="center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 principal concurrent en France est </w:t>
      </w:r>
      <w:r w:rsidDel="00000000" w:rsidR="00000000" w:rsidRPr="00000000">
        <w:rPr>
          <w:b w:val="1"/>
          <w:rtl w:val="0"/>
        </w:rPr>
        <w:t xml:space="preserve">Gamoniac</w:t>
      </w:r>
      <w:r w:rsidDel="00000000" w:rsidR="00000000" w:rsidRPr="00000000">
        <w:rPr>
          <w:rtl w:val="0"/>
        </w:rPr>
        <w:t xml:space="preserve">, ci-dessous le SWOT de cette entreprise :</w:t>
      </w:r>
    </w:p>
    <w:tbl>
      <w:tblPr>
        <w:tblStyle w:val="Table1"/>
        <w:tblW w:w="889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40"/>
        <w:tblGridChange w:id="0">
          <w:tblGrid>
            <w:gridCol w:w="4455"/>
            <w:gridCol w:w="444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efefef" w:space="0" w:sz="12" w:val="single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2d2a2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2a2a"/>
                <w:sz w:val="24"/>
                <w:szCs w:val="24"/>
                <w:rtl w:val="0"/>
              </w:rPr>
              <w:t xml:space="preserve">FORCES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fefef" w:space="0" w:sz="12" w:val="single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2d2a2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2a2a"/>
                <w:sz w:val="24"/>
                <w:szCs w:val="24"/>
                <w:rtl w:val="0"/>
              </w:rPr>
              <w:t xml:space="preserve">FAIBLESSES</w:t>
            </w:r>
          </w:p>
        </w:tc>
      </w:tr>
      <w:tr>
        <w:trPr>
          <w:trHeight w:val="2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e6e6e6" w:space="0" w:sz="8" w:val="single"/>
              <w:right w:color="000000" w:space="0" w:sz="0" w:val="nil"/>
            </w:tcBorders>
            <w:tcMar>
              <w:top w:w="220.0" w:type="dxa"/>
              <w:left w:w="180.0" w:type="dxa"/>
              <w:bottom w:w="2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– Image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jeune, dynamique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– Implantations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Toute la France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– Positionnement de l’offre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bon (grâce à la bonne connaissance des consommateurs)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– Gamme de produits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Large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– Concurrence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Personne sur le marché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e6e6" w:space="0" w:sz="8" w:val="single"/>
              <w:right w:color="000000" w:space="0" w:sz="0" w:val="nil"/>
            </w:tcBorders>
            <w:tcMar>
              <w:top w:w="220.0" w:type="dxa"/>
              <w:left w:w="180.0" w:type="dxa"/>
              <w:bottom w:w="2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– Notoriété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Faible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– Système d’abonnement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 types d’abonnement, choix limité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– Communication externe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inexistante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– Système entreprise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: Vente d’abonnement, pas de plateforme de mise en relation entre particuliers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efefef" w:space="0" w:sz="12" w:val="single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2d2a2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2a2a"/>
                <w:sz w:val="24"/>
                <w:szCs w:val="24"/>
                <w:rtl w:val="0"/>
              </w:rPr>
              <w:t xml:space="preserve">OPPORTUNITÉS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fefef" w:space="0" w:sz="12" w:val="single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2d2a2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2a2a"/>
                <w:sz w:val="24"/>
                <w:szCs w:val="24"/>
                <w:rtl w:val="0"/>
              </w:rPr>
              <w:t xml:space="preserve">MENACES</w:t>
            </w:r>
          </w:p>
        </w:tc>
      </w:tr>
      <w:tr>
        <w:trPr>
          <w:trHeight w:val="1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e6e6e6" w:space="0" w:sz="8" w:val="single"/>
              <w:right w:color="000000" w:space="0" w:sz="0" w:val="nil"/>
            </w:tcBorders>
            <w:tcMar>
              <w:top w:w="220.0" w:type="dxa"/>
              <w:left w:w="180.0" w:type="dxa"/>
              <w:bottom w:w="2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– Marché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expansion possible à l’internationale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– Distribution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Ouverture de boutiques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– Partenariat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Avec éditeurs de jeux vidéos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e6e6" w:space="0" w:sz="8" w:val="single"/>
              <w:right w:color="000000" w:space="0" w:sz="0" w:val="nil"/>
            </w:tcBorders>
            <w:tcMar>
              <w:top w:w="220.0" w:type="dxa"/>
              <w:left w:w="180.0" w:type="dxa"/>
              <w:bottom w:w="2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– Abonnement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abonnement avec engagement risque de faire fuir le client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– Concurrence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Possible arrivée d’autre acteurs sur ce marché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– Système d’envoi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Les jeux doivent être renvoyer par courrier =&gt; lassitude du client.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785938" cy="59329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5938" cy="59329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