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CC655" w14:textId="77777777" w:rsidR="000B27D7" w:rsidRPr="000B27D7" w:rsidRDefault="000B27D7" w:rsidP="000B27D7">
      <w:pPr>
        <w:rPr>
          <w:b/>
          <w:bCs/>
        </w:rPr>
      </w:pPr>
      <w:r w:rsidRPr="000B27D7">
        <w:rPr>
          <w:rFonts w:ascii="Segoe UI Emoji" w:hAnsi="Segoe UI Emoji" w:cs="Segoe UI Emoji"/>
          <w:b/>
          <w:bCs/>
        </w:rPr>
        <w:t>🧩</w:t>
      </w:r>
      <w:r w:rsidRPr="000B27D7">
        <w:rPr>
          <w:b/>
          <w:bCs/>
        </w:rPr>
        <w:t xml:space="preserve"> What STANAGs Actually 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6302"/>
      </w:tblGrid>
      <w:tr w:rsidR="000B27D7" w:rsidRPr="000B27D7" w14:paraId="072B01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157AF" w14:textId="77777777" w:rsidR="000B27D7" w:rsidRPr="000B27D7" w:rsidRDefault="000B27D7" w:rsidP="000B27D7">
            <w:pPr>
              <w:rPr>
                <w:b/>
                <w:bCs/>
              </w:rPr>
            </w:pPr>
            <w:r w:rsidRPr="000B27D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F7DC63E" w14:textId="77777777" w:rsidR="000B27D7" w:rsidRPr="000B27D7" w:rsidRDefault="000B27D7" w:rsidP="000B27D7">
            <w:pPr>
              <w:rPr>
                <w:b/>
                <w:bCs/>
              </w:rPr>
            </w:pPr>
            <w:r w:rsidRPr="000B27D7">
              <w:rPr>
                <w:b/>
                <w:bCs/>
              </w:rPr>
              <w:t>Example</w:t>
            </w:r>
          </w:p>
        </w:tc>
      </w:tr>
      <w:tr w:rsidR="000B27D7" w:rsidRPr="000B27D7" w14:paraId="287430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2934" w14:textId="77777777" w:rsidR="000B27D7" w:rsidRPr="000B27D7" w:rsidRDefault="000B27D7" w:rsidP="000B27D7">
            <w:r w:rsidRPr="000B27D7">
              <w:rPr>
                <w:b/>
                <w:bCs/>
              </w:rPr>
              <w:t>Ensure interoperability</w:t>
            </w:r>
          </w:p>
        </w:tc>
        <w:tc>
          <w:tcPr>
            <w:tcW w:w="0" w:type="auto"/>
            <w:vAlign w:val="center"/>
            <w:hideMark/>
          </w:tcPr>
          <w:p w14:paraId="34547E0B" w14:textId="77777777" w:rsidR="000B27D7" w:rsidRPr="000B27D7" w:rsidRDefault="000B27D7" w:rsidP="000B27D7">
            <w:r w:rsidRPr="000B27D7">
              <w:t>A Canadian drone can share data with a U.S. ground station</w:t>
            </w:r>
          </w:p>
        </w:tc>
      </w:tr>
      <w:tr w:rsidR="000B27D7" w:rsidRPr="000B27D7" w14:paraId="6F9FBF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038C2" w14:textId="77777777" w:rsidR="000B27D7" w:rsidRPr="000B27D7" w:rsidRDefault="000B27D7" w:rsidP="000B27D7">
            <w:r w:rsidRPr="000B27D7">
              <w:rPr>
                <w:b/>
                <w:bCs/>
              </w:rPr>
              <w:t>Define formats and protocols</w:t>
            </w:r>
          </w:p>
        </w:tc>
        <w:tc>
          <w:tcPr>
            <w:tcW w:w="0" w:type="auto"/>
            <w:vAlign w:val="center"/>
            <w:hideMark/>
          </w:tcPr>
          <w:p w14:paraId="2E0E249F" w14:textId="77777777" w:rsidR="000B27D7" w:rsidRPr="000B27D7" w:rsidRDefault="000B27D7" w:rsidP="000B27D7">
            <w:r w:rsidRPr="000B27D7">
              <w:t>Standard video encoding, GPS formats, radio frequencies</w:t>
            </w:r>
          </w:p>
        </w:tc>
      </w:tr>
      <w:tr w:rsidR="000B27D7" w:rsidRPr="000B27D7" w14:paraId="4E588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05B8" w14:textId="77777777" w:rsidR="000B27D7" w:rsidRPr="000B27D7" w:rsidRDefault="000B27D7" w:rsidP="000B27D7">
            <w:r w:rsidRPr="000B27D7">
              <w:rPr>
                <w:b/>
                <w:bCs/>
              </w:rPr>
              <w:t>Enable joint missions</w:t>
            </w:r>
          </w:p>
        </w:tc>
        <w:tc>
          <w:tcPr>
            <w:tcW w:w="0" w:type="auto"/>
            <w:vAlign w:val="center"/>
            <w:hideMark/>
          </w:tcPr>
          <w:p w14:paraId="097E5391" w14:textId="77777777" w:rsidR="000B27D7" w:rsidRPr="000B27D7" w:rsidRDefault="000B27D7" w:rsidP="000B27D7">
            <w:r w:rsidRPr="000B27D7">
              <w:t>Multinational forces can coordinate logistics, targeting, and telemetry</w:t>
            </w:r>
          </w:p>
        </w:tc>
      </w:tr>
      <w:tr w:rsidR="000B27D7" w:rsidRPr="000B27D7" w14:paraId="300BB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F65A" w14:textId="77777777" w:rsidR="000B27D7" w:rsidRPr="000B27D7" w:rsidRDefault="000B27D7" w:rsidP="000B27D7">
            <w:r w:rsidRPr="000B27D7">
              <w:rPr>
                <w:b/>
                <w:bCs/>
              </w:rPr>
              <w:t>Guide procurement and design</w:t>
            </w:r>
          </w:p>
        </w:tc>
        <w:tc>
          <w:tcPr>
            <w:tcW w:w="0" w:type="auto"/>
            <w:vAlign w:val="center"/>
            <w:hideMark/>
          </w:tcPr>
          <w:p w14:paraId="741DA339" w14:textId="77777777" w:rsidR="000B27D7" w:rsidRPr="000B27D7" w:rsidRDefault="000B27D7" w:rsidP="000B27D7">
            <w:r w:rsidRPr="000B27D7">
              <w:t>Defense contractors build systems that meet STANAG specs</w:t>
            </w:r>
          </w:p>
        </w:tc>
      </w:tr>
    </w:tbl>
    <w:p w14:paraId="4D1DE4C6" w14:textId="77777777" w:rsidR="000B27D7" w:rsidRPr="000B27D7" w:rsidRDefault="000B27D7" w:rsidP="000B27D7">
      <w:r w:rsidRPr="000B27D7">
        <w:pict w14:anchorId="75E2851A">
          <v:rect id="_x0000_i1026" style="width:0;height:1.5pt" o:hralign="center" o:hrstd="t" o:hr="t" fillcolor="#a0a0a0" stroked="f"/>
        </w:pict>
      </w:r>
    </w:p>
    <w:p w14:paraId="0EDE4B50" w14:textId="77777777" w:rsidR="000B27D7" w:rsidRPr="000B27D7" w:rsidRDefault="000B27D7" w:rsidP="000B27D7">
      <w:pPr>
        <w:rPr>
          <w:b/>
          <w:bCs/>
        </w:rPr>
      </w:pPr>
      <w:r w:rsidRPr="000B27D7">
        <w:rPr>
          <w:rFonts w:ascii="Segoe UI Emoji" w:hAnsi="Segoe UI Emoji" w:cs="Segoe UI Emoji"/>
          <w:b/>
          <w:bCs/>
        </w:rPr>
        <w:t>🛠️</w:t>
      </w:r>
      <w:r w:rsidRPr="000B27D7">
        <w:rPr>
          <w:b/>
          <w:bCs/>
        </w:rPr>
        <w:t xml:space="preserve"> Examples Relevant to Rebel Vector</w:t>
      </w:r>
    </w:p>
    <w:p w14:paraId="00FBE534" w14:textId="77777777" w:rsidR="000B27D7" w:rsidRPr="000B27D7" w:rsidRDefault="000B27D7" w:rsidP="000B27D7">
      <w:r w:rsidRPr="000B27D7">
        <w:t>Here are a few STANAGs that could intersect with your autonomy mesh:</w:t>
      </w:r>
    </w:p>
    <w:p w14:paraId="5A94A4A6" w14:textId="77777777" w:rsidR="000B27D7" w:rsidRPr="000B27D7" w:rsidRDefault="000B27D7" w:rsidP="000B27D7">
      <w:pPr>
        <w:numPr>
          <w:ilvl w:val="0"/>
          <w:numId w:val="1"/>
        </w:numPr>
      </w:pPr>
      <w:r w:rsidRPr="000B27D7">
        <w:rPr>
          <w:b/>
          <w:bCs/>
        </w:rPr>
        <w:t>STANAG 4609</w:t>
      </w:r>
      <w:r w:rsidRPr="000B27D7">
        <w:t xml:space="preserve"> – Digital Motion Imagery (video encoding and metadata)</w:t>
      </w:r>
    </w:p>
    <w:p w14:paraId="137D6D51" w14:textId="77777777" w:rsidR="000B27D7" w:rsidRPr="000B27D7" w:rsidRDefault="000B27D7" w:rsidP="000B27D7">
      <w:pPr>
        <w:numPr>
          <w:ilvl w:val="0"/>
          <w:numId w:val="1"/>
        </w:numPr>
      </w:pPr>
      <w:r w:rsidRPr="000B27D7">
        <w:rPr>
          <w:b/>
          <w:bCs/>
        </w:rPr>
        <w:t>STANAG 4586</w:t>
      </w:r>
      <w:r w:rsidRPr="000B27D7">
        <w:t xml:space="preserve"> – UAV interoperability (control, telemetry, payload commands)</w:t>
      </w:r>
    </w:p>
    <w:p w14:paraId="4DD788C7" w14:textId="77777777" w:rsidR="000B27D7" w:rsidRPr="000B27D7" w:rsidRDefault="000B27D7" w:rsidP="000B27D7">
      <w:pPr>
        <w:numPr>
          <w:ilvl w:val="0"/>
          <w:numId w:val="1"/>
        </w:numPr>
      </w:pPr>
      <w:r w:rsidRPr="000B27D7">
        <w:rPr>
          <w:b/>
          <w:bCs/>
        </w:rPr>
        <w:t>STANAG 5066</w:t>
      </w:r>
      <w:r w:rsidRPr="000B27D7">
        <w:t xml:space="preserve"> – HF radio data communication (for mesh resilience)</w:t>
      </w:r>
    </w:p>
    <w:p w14:paraId="60A717A7" w14:textId="77777777" w:rsidR="000B27D7" w:rsidRPr="000B27D7" w:rsidRDefault="000B27D7" w:rsidP="000B27D7">
      <w:pPr>
        <w:numPr>
          <w:ilvl w:val="0"/>
          <w:numId w:val="1"/>
        </w:numPr>
      </w:pPr>
      <w:r w:rsidRPr="000B27D7">
        <w:rPr>
          <w:b/>
          <w:bCs/>
        </w:rPr>
        <w:t>STANAG 4676</w:t>
      </w:r>
      <w:r w:rsidRPr="000B27D7">
        <w:t xml:space="preserve"> – Ground Moving Target Indicator (sensor fusion and tracking)</w:t>
      </w:r>
    </w:p>
    <w:p w14:paraId="054347F3" w14:textId="77777777" w:rsidR="000B27D7" w:rsidRPr="000B27D7" w:rsidRDefault="000B27D7" w:rsidP="000B27D7">
      <w:r w:rsidRPr="000B27D7">
        <w:t xml:space="preserve">If Rebel Vector agents can </w:t>
      </w:r>
      <w:r w:rsidRPr="000B27D7">
        <w:rPr>
          <w:b/>
          <w:bCs/>
        </w:rPr>
        <w:t>emit telemetry, receive commands, and log data</w:t>
      </w:r>
      <w:r w:rsidRPr="000B27D7">
        <w:t xml:space="preserve"> in STANAG-compliant formats, you’re instantly compatible with NATO systems — including Canadian DND deployments.</w:t>
      </w:r>
    </w:p>
    <w:p w14:paraId="012BE66F" w14:textId="77777777" w:rsidR="000B27D7" w:rsidRPr="000B27D7" w:rsidRDefault="000B27D7" w:rsidP="000B27D7">
      <w:r w:rsidRPr="000B27D7">
        <w:pict w14:anchorId="0E193680">
          <v:rect id="_x0000_i1027" style="width:0;height:1.5pt" o:hralign="center" o:hrstd="t" o:hr="t" fillcolor="#a0a0a0" stroked="f"/>
        </w:pict>
      </w:r>
    </w:p>
    <w:p w14:paraId="0C33E9CC" w14:textId="77777777" w:rsidR="000B27D7" w:rsidRPr="000B27D7" w:rsidRDefault="000B27D7" w:rsidP="000B27D7">
      <w:pPr>
        <w:rPr>
          <w:b/>
          <w:bCs/>
        </w:rPr>
      </w:pPr>
      <w:r w:rsidRPr="000B27D7">
        <w:rPr>
          <w:rFonts w:ascii="Segoe UI Emoji" w:hAnsi="Segoe UI Emoji" w:cs="Segoe UI Emoji"/>
          <w:b/>
          <w:bCs/>
        </w:rPr>
        <w:t>🧠</w:t>
      </w:r>
      <w:r w:rsidRPr="000B27D7">
        <w:rPr>
          <w:b/>
          <w:bCs/>
        </w:rPr>
        <w:t xml:space="preserve"> Why It Matters</w:t>
      </w:r>
    </w:p>
    <w:p w14:paraId="3E9CF6CD" w14:textId="77777777" w:rsidR="000B27D7" w:rsidRPr="000B27D7" w:rsidRDefault="000B27D7" w:rsidP="000B27D7">
      <w:pPr>
        <w:numPr>
          <w:ilvl w:val="0"/>
          <w:numId w:val="2"/>
        </w:numPr>
      </w:pPr>
      <w:r w:rsidRPr="000B27D7">
        <w:rPr>
          <w:b/>
          <w:bCs/>
        </w:rPr>
        <w:t>Defense-grade interoperability</w:t>
      </w:r>
      <w:r w:rsidRPr="000B27D7">
        <w:t xml:space="preserve"> without sacrificing your civil-first architecture</w:t>
      </w:r>
    </w:p>
    <w:p w14:paraId="26B4E496" w14:textId="77777777" w:rsidR="000B27D7" w:rsidRPr="000B27D7" w:rsidRDefault="000B27D7" w:rsidP="000B27D7">
      <w:pPr>
        <w:numPr>
          <w:ilvl w:val="0"/>
          <w:numId w:val="2"/>
        </w:numPr>
      </w:pPr>
      <w:proofErr w:type="gramStart"/>
      <w:r w:rsidRPr="000B27D7">
        <w:rPr>
          <w:b/>
          <w:bCs/>
        </w:rPr>
        <w:t>Future-proofing</w:t>
      </w:r>
      <w:proofErr w:type="gramEnd"/>
      <w:r w:rsidRPr="000B27D7">
        <w:t xml:space="preserve"> for integration with allied systems and procurement pipelines</w:t>
      </w:r>
    </w:p>
    <w:p w14:paraId="04B22304" w14:textId="77777777" w:rsidR="000B27D7" w:rsidRPr="000B27D7" w:rsidRDefault="000B27D7" w:rsidP="000B27D7">
      <w:pPr>
        <w:numPr>
          <w:ilvl w:val="0"/>
          <w:numId w:val="2"/>
        </w:numPr>
      </w:pPr>
      <w:r w:rsidRPr="000B27D7">
        <w:rPr>
          <w:b/>
          <w:bCs/>
        </w:rPr>
        <w:t>Credibility</w:t>
      </w:r>
      <w:r w:rsidRPr="000B27D7">
        <w:t xml:space="preserve"> when pitching to DND, </w:t>
      </w:r>
      <w:proofErr w:type="spellStart"/>
      <w:r w:rsidRPr="000B27D7">
        <w:t>IDEaS</w:t>
      </w:r>
      <w:proofErr w:type="spellEnd"/>
      <w:r w:rsidRPr="000B27D7">
        <w:t>, or NATO-aligned partners</w:t>
      </w:r>
    </w:p>
    <w:p w14:paraId="40F5FFBC" w14:textId="77777777" w:rsidR="000B27D7" w:rsidRPr="000B27D7" w:rsidRDefault="000B27D7" w:rsidP="000B27D7">
      <w:r w:rsidRPr="000B27D7">
        <w:t>Want to scaffold a STANAG 4586-compliant telemetry format for your drone agent or simulate a joint mission with NATO-style task handoff? You’re not just building expressive autonomy — you’re designing for sovereign interoperability.</w:t>
      </w:r>
    </w:p>
    <w:p w14:paraId="44BCB9B5" w14:textId="77777777" w:rsidR="00612925" w:rsidRDefault="00612925"/>
    <w:sectPr w:rsidR="00612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47BD"/>
    <w:multiLevelType w:val="multilevel"/>
    <w:tmpl w:val="C65E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6152A"/>
    <w:multiLevelType w:val="multilevel"/>
    <w:tmpl w:val="41D8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419095">
    <w:abstractNumId w:val="0"/>
  </w:num>
  <w:num w:numId="2" w16cid:durableId="35750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D7"/>
    <w:rsid w:val="000B27D7"/>
    <w:rsid w:val="00612925"/>
    <w:rsid w:val="0096784F"/>
    <w:rsid w:val="00F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87EB"/>
  <w15:chartTrackingRefBased/>
  <w15:docId w15:val="{6BB52C72-54A7-43CE-A095-A862718F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1244</Characters>
  <Application>Microsoft Office Word</Application>
  <DocSecurity>0</DocSecurity>
  <Lines>31</Lines>
  <Paragraphs>23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Chateauvert</dc:creator>
  <cp:keywords/>
  <dc:description/>
  <cp:lastModifiedBy>Claude Chateauvert</cp:lastModifiedBy>
  <cp:revision>1</cp:revision>
  <dcterms:created xsi:type="dcterms:W3CDTF">2025-10-16T16:42:00Z</dcterms:created>
  <dcterms:modified xsi:type="dcterms:W3CDTF">2025-10-16T16:44:00Z</dcterms:modified>
</cp:coreProperties>
</file>