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Mudanças e lacunas de Sagas de Cronos</w:t>
      </w:r>
    </w:p>
    <w:p>
      <w:r>
        <w:t>Relatório de decisões editoriais usado para transformar a compilação de Cronos em uma primeira edição jogável e cadastrável no Runas Book. O que segue distingue informação encontrada nos arquivos de decisões adicionadas para tornar a regra executável.</w:t>
      </w:r>
    </w:p>
    <w:p>
      <w:pPr>
        <w:pStyle w:val="Heading1"/>
      </w:pPr>
      <w:r>
        <w:t>Lacunas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334E68"/>
          </w:tcPr>
          <w:p>
            <w:r>
              <w:t>Fonte</w:t>
            </w:r>
          </w:p>
        </w:tc>
        <w:tc>
          <w:tcPr>
            <w:tcW w:type="dxa" w:w="3293"/>
            <w:shd w:fill="334E68"/>
          </w:tcPr>
          <w:p>
            <w:r>
              <w:t>Lacuna ou conflito</w:t>
            </w:r>
          </w:p>
        </w:tc>
        <w:tc>
          <w:tcPr>
            <w:tcW w:type="dxa" w:w="3293"/>
            <w:shd w:fill="334E68"/>
          </w:tcPr>
          <w:p>
            <w:r>
              <w:t>Decisão aplicada</w:t>
            </w:r>
          </w:p>
        </w:tc>
      </w:tr>
      <w:tr>
        <w:tc>
          <w:tcPr>
            <w:tcW w:type="dxa" w:w="3293"/>
            <w:vAlign w:val="center"/>
          </w:tcPr>
          <w:p>
            <w:r>
              <w:t>Regras gerais</w:t>
            </w:r>
          </w:p>
        </w:tc>
        <w:tc>
          <w:tcPr>
            <w:tcW w:type="dxa" w:w="3293"/>
            <w:vAlign w:val="center"/>
          </w:tcPr>
          <w:p>
            <w:r>
              <w:t>A fórmula “destreza + força ÷ 20” não indicava parênteses.</w:t>
            </w:r>
          </w:p>
        </w:tc>
        <w:tc>
          <w:tcPr>
            <w:tcW w:type="dxa" w:w="3293"/>
            <w:vAlign w:val="center"/>
          </w:tcPr>
          <w:p>
            <w:r>
              <w:t>Usada a soma dos dois atributos dividida por 20, arredondada para cima.</w:t>
            </w:r>
          </w:p>
        </w:tc>
      </w:tr>
      <w:tr>
        <w:tc>
          <w:tcPr>
            <w:tcW w:type="dxa" w:w="3293"/>
            <w:vAlign w:val="center"/>
          </w:tcPr>
          <w:p>
            <w:r>
              <w:t>Regras gerais</w:t>
            </w:r>
          </w:p>
        </w:tc>
        <w:tc>
          <w:tcPr>
            <w:tcW w:type="dxa" w:w="3293"/>
            <w:vAlign w:val="center"/>
          </w:tcPr>
          <w:p>
            <w:r>
              <w:t>A criação informa 40 como mínimo e 75 pontos, mas não explicita o limite durante a distribuição.</w:t>
            </w:r>
          </w:p>
        </w:tc>
        <w:tc>
          <w:tcPr>
            <w:tcW w:type="dxa" w:w="3293"/>
            <w:vAlign w:val="center"/>
          </w:tcPr>
          <w:p>
            <w:r>
              <w:t>Todos começam em 40; os 75 pontos são distribuídos; limite permanente 80 na Sincronia 1 e 100 a partir da 3.</w:t>
            </w:r>
          </w:p>
        </w:tc>
      </w:tr>
      <w:tr>
        <w:tc>
          <w:tcPr>
            <w:tcW w:type="dxa" w:w="3293"/>
            <w:vAlign w:val="center"/>
          </w:tcPr>
          <w:p>
            <w:r>
              <w:t>Morte e renascimento</w:t>
            </w:r>
          </w:p>
        </w:tc>
        <w:tc>
          <w:tcPr>
            <w:tcW w:type="dxa" w:w="3293"/>
            <w:vAlign w:val="center"/>
          </w:tcPr>
          <w:p>
            <w:r>
              <w:t>Há limiares diferentes para desmaio, morte e morte definitiva em mensagens distintas.</w:t>
            </w:r>
          </w:p>
        </w:tc>
        <w:tc>
          <w:tcPr>
            <w:tcW w:type="dxa" w:w="3293"/>
            <w:vAlign w:val="center"/>
          </w:tcPr>
          <w:p>
            <w:r>
              <w:t>Padronizados em Vida 0, -Vida máxima, -2x e -4x; falha no teste determina o resultado nos dois primeiros limiares.</w:t>
            </w:r>
          </w:p>
        </w:tc>
      </w:tr>
      <w:tr>
        <w:tc>
          <w:tcPr>
            <w:tcW w:type="dxa" w:w="3293"/>
            <w:vAlign w:val="center"/>
          </w:tcPr>
          <w:p>
            <w:r>
              <w:t>Sanidade</w:t>
            </w:r>
          </w:p>
        </w:tc>
        <w:tc>
          <w:tcPr>
            <w:tcW w:type="dxa" w:w="3293"/>
            <w:vAlign w:val="center"/>
          </w:tcPr>
          <w:p>
            <w:r>
              <w:t>A penalidade por mortes aparece como “-1 por cada -20 de vida”, sem dizer se é temporária.</w:t>
            </w:r>
          </w:p>
        </w:tc>
        <w:tc>
          <w:tcPr>
            <w:tcW w:type="dxa" w:w="3293"/>
            <w:vAlign w:val="center"/>
          </w:tcPr>
          <w:p>
            <w:r>
              <w:t>Penalidade é aplicada à Sanidade máxima após cada morte comum e permanece até um marco de recuperação definido pelo mestre.</w:t>
            </w:r>
          </w:p>
        </w:tc>
      </w:tr>
      <w:tr>
        <w:tc>
          <w:tcPr>
            <w:tcW w:type="dxa" w:w="3293"/>
            <w:vAlign w:val="center"/>
          </w:tcPr>
          <w:p>
            <w:r>
              <w:t>Elementos</w:t>
            </w:r>
          </w:p>
        </w:tc>
        <w:tc>
          <w:tcPr>
            <w:tcW w:type="dxa" w:w="3293"/>
            <w:vAlign w:val="center"/>
          </w:tcPr>
          <w:p>
            <w:r>
              <w:t>Alguns elementos têm apenas nome; resistências, fraquezas e efeitos não estão completos.</w:t>
            </w:r>
          </w:p>
        </w:tc>
        <w:tc>
          <w:tcPr>
            <w:tcW w:type="dxa" w:w="3293"/>
            <w:vAlign w:val="center"/>
          </w:tcPr>
          <w:p>
            <w:r>
              <w:t>Mantidos como páginas editáveis; nenhum valor foi inventado no catálogo numérico. O editor aceita campos vazios e marca a página para revisão.</w:t>
            </w:r>
          </w:p>
        </w:tc>
      </w:tr>
      <w:tr>
        <w:tc>
          <w:tcPr>
            <w:tcW w:type="dxa" w:w="3293"/>
            <w:vAlign w:val="center"/>
          </w:tcPr>
          <w:p>
            <w:r>
              <w:t>Itens</w:t>
            </w:r>
          </w:p>
        </w:tc>
        <w:tc>
          <w:tcPr>
            <w:tcW w:type="dxa" w:w="3293"/>
            <w:vAlign w:val="center"/>
          </w:tcPr>
          <w:p>
            <w:r>
              <w:t>A lista de itens contém armas sem dano, características ou requisitos (por exemplo Clava, Machadinha e Lança).</w:t>
            </w:r>
          </w:p>
        </w:tc>
        <w:tc>
          <w:tcPr>
            <w:tcW w:type="dxa" w:w="3293"/>
            <w:vAlign w:val="center"/>
          </w:tcPr>
          <w:p>
            <w:r>
              <w:t>Cadastrados como itens estruturados com valores vazios e aviso de revisão; peso padrão 0 somente para permitir exportação sem quebrar o modelo.</w:t>
            </w:r>
          </w:p>
        </w:tc>
      </w:tr>
      <w:tr>
        <w:tc>
          <w:tcPr>
            <w:tcW w:type="dxa" w:w="3293"/>
            <w:vAlign w:val="center"/>
          </w:tcPr>
          <w:p>
            <w:r>
              <w:t>Perícias</w:t>
            </w:r>
          </w:p>
        </w:tc>
        <w:tc>
          <w:tcPr>
            <w:tcW w:type="dxa" w:w="3293"/>
            <w:vAlign w:val="center"/>
          </w:tcPr>
          <w:p>
            <w:r>
              <w:t>A fonte alterna testes em escala d100 e bônus “+20”, sem uma tabela única de perícias.</w:t>
            </w:r>
          </w:p>
        </w:tc>
        <w:tc>
          <w:tcPr>
            <w:tcW w:type="dxa" w:w="3293"/>
            <w:vAlign w:val="center"/>
          </w:tcPr>
          <w:p>
            <w:r>
              <w:t>O núcleo do sistema usa d100 abaixo do alvo; bônus são somados ao alvo final e a dificuldade usa a tabela consolidada.</w:t>
            </w:r>
          </w:p>
        </w:tc>
      </w:tr>
      <w:tr>
        <w:tc>
          <w:tcPr>
            <w:tcW w:type="dxa" w:w="3293"/>
            <w:vAlign w:val="center"/>
          </w:tcPr>
          <w:p>
            <w:r>
              <w:t>Esquecidos</w:t>
            </w:r>
          </w:p>
        </w:tc>
        <w:tc>
          <w:tcPr>
            <w:tcW w:type="dxa" w:w="3293"/>
            <w:vAlign w:val="center"/>
          </w:tcPr>
          <w:p>
            <w:r>
              <w:t>O texto narrativo descreve o fenômeno, mas não define estatísticas ou uma condição de jogador.</w:t>
            </w:r>
          </w:p>
        </w:tc>
        <w:tc>
          <w:tcPr>
            <w:tcW w:type="dxa" w:w="3293"/>
            <w:vAlign w:val="center"/>
          </w:tcPr>
          <w:p>
            <w:r>
              <w:t>Tratados como ameaça narrativa de mestre, com parâmetros a preencher por cena; não são aplicados automaticamente a personagens.</w:t>
            </w:r>
          </w:p>
        </w:tc>
      </w:tr>
      <w:tr>
        <w:tc>
          <w:tcPr>
            <w:tcW w:type="dxa" w:w="3293"/>
            <w:vAlign w:val="center"/>
          </w:tcPr>
          <w:p>
            <w:r>
              <w:t>Arquivos</w:t>
            </w:r>
          </w:p>
        </w:tc>
        <w:tc>
          <w:tcPr>
            <w:tcW w:type="dxa" w:w="3293"/>
            <w:vAlign w:val="center"/>
          </w:tcPr>
          <w:p>
            <w:r>
              <w:t>A compilação mistura exports JSON, DOCX, planilha e notas com mensagens de Discord.</w:t>
            </w:r>
          </w:p>
        </w:tc>
        <w:tc>
          <w:tcPr>
            <w:tcW w:type="dxa" w:w="3293"/>
            <w:vAlign w:val="center"/>
          </w:tcPr>
          <w:p>
            <w:r>
              <w:t>O Runas Book usa os nomes de canais como capítulos e cada arquivo/mensagem como página, preservando o nome de origem nos metadados.</w:t>
            </w:r>
          </w:p>
        </w:tc>
      </w:tr>
    </w:tbl>
    <w:p>
      <w:pPr>
        <w:pStyle w:val="Heading1"/>
      </w:pPr>
      <w:r>
        <w:t>Informações inseridas</w:t>
      </w:r>
    </w:p>
    <w:p>
      <w:pPr>
        <w:pStyle w:val="ListBullet"/>
      </w:pPr>
      <w:r>
        <w:t>Título editorial “Sagas de Cronos 1ª Edição” para distinguir a compilação da campanha e das versões futuras.</w:t>
      </w:r>
    </w:p>
    <w:p>
      <w:pPr>
        <w:pStyle w:val="ListBullet"/>
      </w:pPr>
      <w:r>
        <w:t>Ordem de capítulos: Início, Personagens, Raças, Elementos, Fauna, Geologia, Mundo, Cronologia e Deuses e Santos.</w:t>
      </w:r>
    </w:p>
    <w:p>
      <w:pPr>
        <w:pStyle w:val="ListBullet"/>
      </w:pPr>
      <w:r>
        <w:t>Metadados mínimos de exportação: tipo do registro, id, nome, resumo e origem.</w:t>
      </w:r>
    </w:p>
    <w:p>
      <w:pPr>
        <w:pStyle w:val="ListBullet"/>
      </w:pPr>
      <w:r>
        <w:t>Peso 0 para itens sem peso informado, explicitamente marcado como provisório e editável.</w:t>
      </w:r>
    </w:p>
    <w:p>
      <w:pPr>
        <w:pStyle w:val="ListBullet"/>
      </w:pPr>
      <w:r>
        <w:t>Rótulos “Regra”, “Item”, “Habilidade”, “Magia” e “Ficha” para permitir filtros e downloads consistentes.</w:t>
      </w:r>
    </w:p>
    <w:p>
      <w:pPr>
        <w:pStyle w:val="Heading1"/>
      </w:pPr>
      <w:r>
        <w:t>Como revisar</w:t>
      </w:r>
    </w:p>
    <w:p>
      <w:r>
        <w:t>No Runas Book DM, abra a página com aviso de revisão, complete os campos faltantes e sincronize o catálogo com o vault do Obsidian. Quando a informação for uma regra compartilhada (cálculos, dano, atributos ou fichas), ela deve ser promovida ao @runas/core antes de ser consumida pelos aplicativos.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