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Pr="001863FA" w:rsidRDefault="00DC72CC" w:rsidP="001863FA">
      <w:pPr>
        <w:pStyle w:val="a3"/>
      </w:pPr>
      <w:r w:rsidRPr="001863FA">
        <w:t>Система налогообложения</w:t>
      </w:r>
    </w:p>
    <w:p w:rsidR="00DC72CC" w:rsidRDefault="00DC72CC" w:rsidP="002B7FA3"/>
    <w:p w:rsidR="002B7FA3" w:rsidRDefault="00DC72CC" w:rsidP="002B7FA3">
      <w:r>
        <w:t xml:space="preserve">Малому бизнесу доступна </w:t>
      </w:r>
      <w:r w:rsidRPr="006D2F20">
        <w:rPr>
          <w:b/>
        </w:rPr>
        <w:t>упрощённая система налогообложения</w:t>
      </w:r>
      <w:r>
        <w:t xml:space="preserve"> (</w:t>
      </w:r>
      <w:r w:rsidRPr="002B7FA3">
        <w:rPr>
          <w:b/>
        </w:rPr>
        <w:t>УСН</w:t>
      </w:r>
      <w:r>
        <w:t>)</w:t>
      </w:r>
      <w:r w:rsidR="002B7FA3">
        <w:t>.</w:t>
      </w:r>
    </w:p>
    <w:p w:rsidR="002B7FA3" w:rsidRDefault="002B7FA3" w:rsidP="002B7FA3">
      <w:pPr>
        <w:pStyle w:val="a5"/>
        <w:numPr>
          <w:ilvl w:val="0"/>
          <w:numId w:val="2"/>
        </w:numPr>
      </w:pPr>
      <w:r>
        <w:t>Вариант 1 – облагаются доходы по ставке 6 %.</w:t>
      </w:r>
    </w:p>
    <w:p w:rsidR="002B7FA3" w:rsidRDefault="002B7FA3" w:rsidP="002B7FA3">
      <w:pPr>
        <w:pStyle w:val="a5"/>
        <w:numPr>
          <w:ilvl w:val="0"/>
          <w:numId w:val="2"/>
        </w:numPr>
      </w:pPr>
      <w:r>
        <w:t>Вариант 2 – облагаются «доходы минус расходы» по ставке 12 %.</w:t>
      </w:r>
    </w:p>
    <w:p w:rsidR="002B7FA3" w:rsidRDefault="002B7FA3" w:rsidP="002B7FA3">
      <w:pPr>
        <w:pStyle w:val="2"/>
      </w:pPr>
      <w:r>
        <w:t>Патентная система налогообложения</w:t>
      </w:r>
    </w:p>
    <w:p w:rsidR="002B7FA3" w:rsidRDefault="002B7FA3" w:rsidP="002B7FA3">
      <w:r>
        <w:t xml:space="preserve">ИП может применять </w:t>
      </w:r>
      <w:r w:rsidRPr="006D2F20">
        <w:rPr>
          <w:b/>
        </w:rPr>
        <w:t>ПСН</w:t>
      </w:r>
      <w:r>
        <w:t>, если средняя численность работников не превышает 15 человек, доходы с начала года не превышают 60 млн. рублей. Данный налог зависит от региона работы, вида деятельности и средней численности на предприятие. Помимо стоимости патента ИП платит фиксированные страховые взносы за себя (в 2024 году – 49500).</w:t>
      </w:r>
    </w:p>
    <w:p w:rsidR="001863FA" w:rsidRDefault="001863FA" w:rsidP="001863FA">
      <w:pPr>
        <w:pStyle w:val="2"/>
      </w:pPr>
      <w:r>
        <w:t>Самозанятые</w:t>
      </w:r>
    </w:p>
    <w:p w:rsidR="001863FA" w:rsidRDefault="001863FA" w:rsidP="001863FA">
      <w:r>
        <w:t xml:space="preserve">Стать </w:t>
      </w:r>
      <w:r w:rsidRPr="006D2F20">
        <w:rPr>
          <w:b/>
        </w:rPr>
        <w:t>самозанятым</w:t>
      </w:r>
      <w:r>
        <w:t xml:space="preserve"> можно, если соблюдены следующие условия:</w:t>
      </w:r>
    </w:p>
    <w:p w:rsidR="001863FA" w:rsidRDefault="001863FA" w:rsidP="001863FA">
      <w:pPr>
        <w:pStyle w:val="a5"/>
        <w:numPr>
          <w:ilvl w:val="0"/>
          <w:numId w:val="3"/>
        </w:numPr>
      </w:pPr>
      <w:r>
        <w:t xml:space="preserve">Зарабатывает </w:t>
      </w:r>
      <w:r>
        <w:rPr>
          <w:lang w:val="en-US"/>
        </w:rPr>
        <w:t xml:space="preserve">&lt; </w:t>
      </w:r>
      <w:r>
        <w:t>2,4 млн рублей</w:t>
      </w:r>
      <w:r>
        <w:rPr>
          <w:lang w:val="en-US"/>
        </w:rPr>
        <w:t>/</w:t>
      </w:r>
      <w:r>
        <w:t>год.</w:t>
      </w:r>
    </w:p>
    <w:p w:rsidR="001863FA" w:rsidRDefault="001863FA" w:rsidP="001863FA">
      <w:pPr>
        <w:pStyle w:val="a5"/>
        <w:numPr>
          <w:ilvl w:val="0"/>
          <w:numId w:val="3"/>
        </w:numPr>
      </w:pPr>
      <w:r>
        <w:t>Работает без наёмных работников.</w:t>
      </w:r>
    </w:p>
    <w:p w:rsidR="001863FA" w:rsidRDefault="001863FA" w:rsidP="001863FA">
      <w:pPr>
        <w:pStyle w:val="a5"/>
        <w:numPr>
          <w:ilvl w:val="0"/>
          <w:numId w:val="3"/>
        </w:numPr>
      </w:pPr>
      <w:r>
        <w:t>Занимается разрешённой для этого режима деятельностью.</w:t>
      </w:r>
    </w:p>
    <w:p w:rsidR="001863FA" w:rsidRDefault="001863FA" w:rsidP="001863FA">
      <w:pPr>
        <w:pStyle w:val="2"/>
      </w:pPr>
      <w:r>
        <w:t xml:space="preserve">Профессиональный доход </w:t>
      </w:r>
    </w:p>
    <w:p w:rsidR="001863FA" w:rsidRDefault="001863FA" w:rsidP="001863FA">
      <w:r w:rsidRPr="001863FA">
        <w:rPr>
          <w:b/>
        </w:rPr>
        <w:t>Профессиональный доход</w:t>
      </w:r>
      <w:r>
        <w:rPr>
          <w:b/>
        </w:rPr>
        <w:t xml:space="preserve"> </w:t>
      </w:r>
      <w:r>
        <w:t xml:space="preserve">– это доход, полученный людьми, когда они не работают по найму, не нанимают работников, а также доход от использования имущества (сдача в аренду). Применять налоговый режим могут физлица или ИП, В зависимости от того, с кем работает самозанятый, ставка налога составляет 4 % или 6 %. </w:t>
      </w:r>
    </w:p>
    <w:p w:rsidR="006D2F20" w:rsidRDefault="006D2F20" w:rsidP="006D2F20">
      <w:pPr>
        <w:pStyle w:val="2"/>
      </w:pPr>
      <w:r>
        <w:t>Срок окупаемости</w:t>
      </w:r>
    </w:p>
    <w:p w:rsidR="006D2F20" w:rsidRPr="006D2F20" w:rsidRDefault="006D2F20" w:rsidP="006D2F20">
      <w:r w:rsidRPr="006D2F20">
        <w:rPr>
          <w:b/>
        </w:rPr>
        <w:t>Срок окупаемости</w:t>
      </w:r>
      <w:r>
        <w:rPr>
          <w:b/>
        </w:rPr>
        <w:t xml:space="preserve"> </w:t>
      </w:r>
      <w:r>
        <w:t>– это период времени, когда сумма будущих доходов становится равна сумме инвестиций.</w:t>
      </w:r>
      <w:bookmarkStart w:id="0" w:name="_GoBack"/>
      <w:bookmarkEnd w:id="0"/>
    </w:p>
    <w:sectPr w:rsidR="006D2F20" w:rsidRPr="006D2F2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93CBA"/>
    <w:multiLevelType w:val="hybridMultilevel"/>
    <w:tmpl w:val="F140C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366EB"/>
    <w:multiLevelType w:val="hybridMultilevel"/>
    <w:tmpl w:val="40A69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41983"/>
    <w:multiLevelType w:val="hybridMultilevel"/>
    <w:tmpl w:val="E87EA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7D7"/>
    <w:rsid w:val="00074EF9"/>
    <w:rsid w:val="001863FA"/>
    <w:rsid w:val="002B7FA3"/>
    <w:rsid w:val="006C0B77"/>
    <w:rsid w:val="006D2F20"/>
    <w:rsid w:val="00744DFF"/>
    <w:rsid w:val="008242FF"/>
    <w:rsid w:val="00870751"/>
    <w:rsid w:val="00922C48"/>
    <w:rsid w:val="00A425D8"/>
    <w:rsid w:val="00AC77D7"/>
    <w:rsid w:val="00AF3FA3"/>
    <w:rsid w:val="00B915B7"/>
    <w:rsid w:val="00DC72CC"/>
    <w:rsid w:val="00DD04D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FF0CC3-9923-4918-89C4-EE81CF05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D2F20"/>
    <w:pPr>
      <w:tabs>
        <w:tab w:val="right" w:pos="9354"/>
      </w:tabs>
      <w:jc w:val="center"/>
      <w:outlineLvl w:val="1"/>
    </w:pPr>
    <w:rPr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D2F20"/>
    <w:rPr>
      <w:rFonts w:ascii="Times New Roman" w:hAnsi="Times New Roman"/>
      <w:b/>
      <w:sz w:val="36"/>
    </w:rPr>
  </w:style>
  <w:style w:type="paragraph" w:styleId="a3">
    <w:name w:val="Title"/>
    <w:basedOn w:val="a"/>
    <w:next w:val="a"/>
    <w:link w:val="a4"/>
    <w:uiPriority w:val="10"/>
    <w:qFormat/>
    <w:rsid w:val="001863FA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86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C7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2024-10-21T04:38:00Z</dcterms:created>
  <dcterms:modified xsi:type="dcterms:W3CDTF">2024-10-21T07:34:00Z</dcterms:modified>
</cp:coreProperties>
</file>