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客户A基金检视报告（中风险版）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2020-08-09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2015-03-26——2020-08-09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期间收益：-13.33%(-7.0万元)</w:t>
      </w:r>
    </w:p>
    <w:p>
      <w:r>
        <w:t>期间最大回撤：55.35%(30万元)</w:t>
      </w:r>
    </w:p>
    <w:p>
      <w:r>
        <w:t>期间风险收益比：-0.24（即总收益/最大回撤）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投资方法：每次申购均买入对应季度的中风险组合，买入后每持有12个月调整一次</w:t>
      </w:r>
    </w:p>
    <w:p>
      <w:r>
        <w:t>复现周期：</w:t>
      </w:r>
      <w:r>
        <w:t>2015-03-26——2020-08-09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期间收益：87.97%(47.0万元)</w:t>
      </w:r>
      <w:r>
        <w:t>比原来提高了660.0%</w:t>
      </w:r>
    </w:p>
    <w:p>
      <w:r>
        <w:t>期间最大回撤：42.73%(23万元)</w:t>
      </w:r>
      <w:r>
        <w:t>比原来降低了23%</w:t>
      </w:r>
    </w:p>
    <w:p>
      <w:r>
        <w:t>期间风险收益比：2.06（即总收益/最大回撤）</w:t>
      </w:r>
      <w:r>
        <w:t>比原来提高了855.0%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组合更新时间：2020年3季度（组合明细如下图所示）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519700交银主题——50万</w:t>
      </w:r>
    </w:p>
    <w:p>
      <w:r>
        <w:t>519736交银新成长——50万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