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2020-08-09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2015-03-26——2020-08-09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期间收益：-13.33%(-7.0万元)</w:t>
      </w:r>
    </w:p>
    <w:p>
      <w:r>
        <w:t>期间最大回撤：55.35%(30万元)</w:t>
      </w:r>
    </w:p>
    <w:p>
      <w:r>
        <w:t>期间风险收益比：-0.24（即总收益/最大回撤）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2015-03-26——2020-08-09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期间收益：90.33%(48.0万元)</w:t>
      </w:r>
      <w:r>
        <w:t>比原来提高了678.0%</w:t>
      </w:r>
    </w:p>
    <w:p>
      <w:r>
        <w:t>期间最大回撤：51.02%(28万元)</w:t>
      </w:r>
      <w:r>
        <w:t>比原来降低了8%</w:t>
      </w:r>
    </w:p>
    <w:p>
      <w:r>
        <w:t>期间风险收益比：1.77（即总收益/最大回撤）</w:t>
      </w:r>
      <w:r>
        <w:t>比原来提高了735.0%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519712交银阿尔法——50万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