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客户B基金检视报告（低风险版）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2017-10-23——2020-09-13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期间收益：52.73%(95.0万元)</w:t>
      </w:r>
    </w:p>
    <w:p>
      <w:r>
        <w:t>期间最大回撤：23.14%(25万元)</w:t>
      </w:r>
    </w:p>
    <w:p>
      <w:r>
        <w:t>期间风险收益比：2.28（即总收益/最大回撤）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2017-10-23——2020-09-13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期间收益：16.02%(29.0万元)</w:t>
      </w:r>
      <w:r/>
    </w:p>
    <w:p>
      <w:r>
        <w:t>期间最大回撤：3.93%(8万元)</w:t>
      </w:r>
      <w:r>
        <w:t>比原来降低了83%</w:t>
      </w:r>
    </w:p>
    <w:p>
      <w:r>
        <w:t>期间风险收益比：4.08（即总收益/最大回撤）</w:t>
      </w:r>
      <w:r>
        <w:t>比原来提高了79.0%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001875前海沪港深优势精选——10万</w:t>
      </w:r>
    </w:p>
    <w:p>
      <w:r>
        <w:t>485111工银瑞信双利债券——85万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