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客户C基金检视报告（中风险版）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2020-10-10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2015-05-18——2020-10-10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期间收益：-2.93%(-6.0万元)</w:t>
      </w:r>
    </w:p>
    <w:p>
      <w:r>
        <w:t>期间最大回撤：48.03%(20万元)</w:t>
      </w:r>
    </w:p>
    <w:p>
      <w:r>
        <w:t>期间风险收益比：-0.06（即总收益/最大回撤）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投资方法：每次申购均买入对应季度的中风险组合，买入后每持有12个月调整一次</w:t>
      </w:r>
    </w:p>
    <w:p>
      <w:r>
        <w:t>复现周期：</w:t>
      </w:r>
      <w:r>
        <w:t>2015-05-18——2020-10-10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期间收益：71.01%(142.0万元)</w:t>
      </w:r>
      <w:r>
        <w:t>比原来提高了2424.0%</w:t>
      </w:r>
    </w:p>
    <w:p>
      <w:r>
        <w:t>期间最大回撤：36.23%(14万元)</w:t>
      </w:r>
      <w:r>
        <w:t>比原来降低了25%</w:t>
      </w:r>
    </w:p>
    <w:p>
      <w:r>
        <w:t>期间风险收益比：1.96（即总收益/最大回撤）</w:t>
      </w:r>
      <w:r>
        <w:t>比原来提高了3213.0%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001714工银文体产业股票——50万</w:t>
      </w:r>
    </w:p>
    <w:p>
      <w:r>
        <w:t>270002广发稳健——50万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