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客户D基金检视报告（中风险版）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2015-09-23——2020-09-13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期间收益：18.94%(12.0万元)</w:t>
      </w:r>
    </w:p>
    <w:p>
      <w:r>
        <w:t>期间最大回撤：45.23%(22万元)</w:t>
      </w:r>
    </w:p>
    <w:p>
      <w:r>
        <w:t>期间风险收益比：0.42（即总收益/最大回撤）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2015-09-23——2020-09-13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期间收益：48.22%(31.0万元)</w:t>
      </w:r>
      <w:r>
        <w:t>比原来提高了155.0%</w:t>
      </w:r>
    </w:p>
    <w:p>
      <w:r>
        <w:t>期间最大回撤：15.95%(7万元)</w:t>
      </w:r>
      <w:r>
        <w:t>比原来降低了65%</w:t>
      </w:r>
    </w:p>
    <w:p>
      <w:r>
        <w:t>期间风险收益比：3.02（即总收益/最大回撤）</w:t>
      </w:r>
      <w:r>
        <w:t>比原来提高了622.0%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D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001714工银文体产业股票——22万</w:t>
      </w:r>
    </w:p>
    <w:p>
      <w:r>
        <w:t>001875前海沪港深优势精选——45万</w:t>
      </w:r>
    </w:p>
    <w:p>
      <w:r>
        <w:t>485111工银瑞信双利债券——33万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