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期间收益：18.94%(12.0万元)</w:t>
      </w:r>
    </w:p>
    <w:p>
      <w:r>
        <w:t>期间最大回撤：45.23%(22万元)</w:t>
      </w:r>
    </w:p>
    <w:p>
      <w:r>
        <w:t>期间风险收益比：0.42（即总收益/最大回撤）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期间收益：18.59%(12.0万元)</w:t>
      </w:r>
      <w:r/>
    </w:p>
    <w:p>
      <w:r>
        <w:t>期间最大回撤：5.71%(2万元)</w:t>
      </w:r>
      <w:r>
        <w:t>比原来降低了87%</w:t>
      </w:r>
    </w:p>
    <w:p>
      <w:r>
        <w:t>期间风险收益比：3.26（即总收益/最大回撤）</w:t>
      </w:r>
      <w:r>
        <w:t>比原来提高了678.0%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