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客户E基金检视报告（高风险版）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2020-09-13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2015-06-04——2020-09-13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期间收益：-4.45%(-4.0万元)</w:t>
      </w:r>
    </w:p>
    <w:p>
      <w:r>
        <w:t>期间最大回撤：75.57%(8万元)</w:t>
      </w:r>
    </w:p>
    <w:p>
      <w:r>
        <w:t>期间风险收益比：-0.06（即总收益/最大回撤）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持仓组合类别：高风险组合</w:t>
      </w:r>
    </w:p>
    <w:p>
      <w:r>
        <w:t>投资方法：每次申购均买入对应季度的高风险组合，买入后每持有6个月调整一次</w:t>
      </w:r>
    </w:p>
    <w:p>
      <w:r>
        <w:t>复现周期：</w:t>
      </w:r>
      <w:r>
        <w:t>2015-06-04——2020-09-13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高风险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期间收益：26.86%(25.0万元)</w:t>
      </w:r>
      <w:r>
        <w:t>比原来提高了604.0%</w:t>
      </w:r>
    </w:p>
    <w:p>
      <w:r>
        <w:t>期间最大回撤：30.56%(3万元)</w:t>
      </w:r>
      <w:r>
        <w:t>比原来降低了60%</w:t>
      </w:r>
    </w:p>
    <w:p>
      <w:r>
        <w:t>期间风险收益比：0.88（即总收益/最大回撤）</w:t>
      </w:r>
      <w:r>
        <w:t>比原来提高了1492.0%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组合类别：高风险公募基金组合</w:t>
      </w:r>
    </w:p>
    <w:p>
      <w:r>
        <w:t>组合更新时间：2020年3季度（组合明细如下图所示）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高风险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001714工银文体产业股票——44万</w:t>
      </w:r>
    </w:p>
    <w:p>
      <w:r>
        <w:t>005827易方达蓝筹精选混合——50万</w:t>
      </w:r>
    </w:p>
    <w:p>
      <w:r>
        <w:t>519736交银新成长——11万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