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连云港分行_buy基金检视报告（高风险版）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期间收益：-4.07%(-1.0万元)</w:t>
      </w:r>
    </w:p>
    <w:p>
      <w:r>
        <w:t>期间最大回撤：6.26%(1万元)</w:t>
      </w:r>
    </w:p>
    <w:p>
      <w:r>
        <w:t>期间风险收益比：-0.65（即总收益/最大回撤）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2020-06-09——2020-09-13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期间收益：8.68%(1.0万元)</w:t>
      </w:r>
      <w:r>
        <w:t>比原来提高了213.0%</w:t>
      </w:r>
    </w:p>
    <w:p>
      <w:r>
        <w:t>期间最大回撤：7.29%(1万元)</w:t>
      </w:r>
      <w:r/>
    </w:p>
    <w:p>
      <w:r>
        <w:t>期间风险收益比：1.19（即总收益/最大回撤）</w:t>
      </w:r>
      <w:r>
        <w:t>比原来提高了183.0%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连云港分行_buy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