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客户G（理财客户）理财与基金对比报告(低风险)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2020-10-21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2016-01-04——2020-10-21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期间收益：16.24%(20万元)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二、低风险组合公募基金投资对比复现</w:t>
      </w:r>
    </w:p>
    <w:p>
      <w:r>
        <w:t>持仓组合类别：低风险组合</w:t>
      </w:r>
    </w:p>
    <w:p>
      <w:r>
        <w:t>投资方法：每次申购均买入对应季度的低风险组合，买入后每持有1年调整一次</w:t>
      </w:r>
    </w:p>
    <w:p>
      <w:r>
        <w:t>复现周期：</w:t>
      </w:r>
      <w:r>
        <w:t>2016-01-04——2020-10-21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_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期间收益：12.68%(16万元)</w:t>
      </w:r>
      <w:r/>
    </w:p>
    <w:p>
      <w:r>
        <w:t>组合最大回撤（可能面临的最大风险）：4.11%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G（理财客户）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001714工银文体产业股票——5万</w:t>
      </w:r>
    </w:p>
    <w:p>
      <w:r>
        <w:t>270002广发稳健——4万</w:t>
      </w:r>
    </w:p>
    <w:p>
      <w:r>
        <w:t>000171易方达裕丰——91万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