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rPr>
          <w:rFonts w:ascii="Cambria" w:hAnsi="Cambria" w:eastAsia="Cambria"/>
          <w:color w:val="000000"/>
          <w:sz w:val="36"/>
        </w:rPr>
        <w:t>客户G（理财客户）理财与基金对比报告(高风险)</w:t>
      </w:r>
    </w:p>
    <w:p>
      <w:pPr>
        <w:pStyle w:val="Heading1"/>
      </w:pPr>
      <w:r>
        <w:rPr>
          <w:rFonts w:ascii="Cambria" w:hAnsi="Cambria" w:eastAsia="Cambria"/>
          <w:color w:val="000000"/>
        </w:rPr>
        <w:t>2020-10-21</w:t>
      </w:r>
    </w:p>
    <w:p>
      <w:pPr>
        <w:pStyle w:val="Heading1"/>
      </w:pPr>
      <w:r>
        <w:rPr>
          <w:rFonts w:ascii="Cambria" w:hAnsi="Cambria" w:eastAsia="Cambria"/>
          <w:color w:val="000000"/>
        </w:rPr>
        <w:t>一、真实历史交易复现：</w:t>
      </w:r>
    </w:p>
    <w:p>
      <w:r>
        <w:t>复现周期：</w:t>
      </w:r>
      <w:r>
        <w:t>2016-01-04——2020-10-21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客户G（理财客户）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t>期间收益：16.24%(20万元)</w:t>
      </w:r>
    </w:p>
    <w:p/>
    <w:p>
      <w:pPr>
        <w:pStyle w:val="Heading1"/>
      </w:pPr>
      <w:r>
        <w:rPr>
          <w:rFonts w:ascii="Cambria" w:hAnsi="Cambria" w:eastAsia="Cambria"/>
          <w:color w:val="000000"/>
        </w:rPr>
        <w:t>二、高风险组合公募基金投资对比复现</w:t>
      </w:r>
    </w:p>
    <w:p>
      <w:r>
        <w:t>持仓组合类别：高风险组合</w:t>
      </w:r>
    </w:p>
    <w:p>
      <w:r>
        <w:t>投资方法：每次申购均买入对应季度的高风险组合，买入后每持有6个月调整一次</w:t>
      </w:r>
    </w:p>
    <w:p>
      <w:r>
        <w:t>复现周期：</w:t>
      </w:r>
      <w:r>
        <w:t>2016-01-04——2020-10-21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客户G（理财客户）高风险风险组合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t>期间收益：56.53%(68万元)</w:t>
      </w:r>
      <w:r>
        <w:t>比原来提高了245%</w:t>
      </w:r>
    </w:p>
    <w:p>
      <w:r>
        <w:t>组合最大回撤（可能面临的最大风险）：23.65%</w:t>
      </w:r>
    </w:p>
    <w:p/>
    <w:p>
      <w:pPr>
        <w:pStyle w:val="Heading1"/>
      </w:pPr>
      <w:r>
        <w:rPr>
          <w:rFonts w:ascii="Cambria" w:hAnsi="Cambria" w:eastAsia="Cambria"/>
          <w:color w:val="000000"/>
        </w:rPr>
        <w:t>三、推荐基金组合</w:t>
      </w:r>
    </w:p>
    <w:p>
      <w:r>
        <w:t>组合类别：高风险公募基金组合</w:t>
      </w:r>
    </w:p>
    <w:p>
      <w:r>
        <w:t>组合更新时间：2020年4季度（组合明细如下图所示）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客户G（理财客户）高风险风险组合_pi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t>组合明细（以100万元计算）：</w:t>
      </w:r>
    </w:p>
    <w:p>
      <w:r>
        <w:t>001714工银文体产业股票——50万</w:t>
      </w:r>
    </w:p>
    <w:p>
      <w:r>
        <w:t>005827易方达蓝筹精选混合——50万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color w:val="000000"/>
      <w:sz w:val="21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