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客户A基金检视报告（低风险版）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2018-03-26——2020-10-19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期间收益：40.87%(22万元)</w:t>
      </w:r>
    </w:p>
    <w:p>
      <w:r>
        <w:t>期间最大回撤：31.73%(13万元)</w:t>
      </w:r>
    </w:p>
    <w:p>
      <w:r>
        <w:t>期间风险收益比：1.29（即总收益/最大回撤）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2018-03-26——2020-10-19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期间收益：21.1%(11万元)</w:t>
      </w:r>
      <w:r/>
    </w:p>
    <w:p>
      <w:r>
        <w:t>期间最大回撤：4.67%(3万元)</w:t>
      </w:r>
      <w:r>
        <w:t>比原来降低了85%</w:t>
      </w:r>
    </w:p>
    <w:p>
      <w:r>
        <w:t>期间风险收益比：4.52（即总收益/最大回撤）</w:t>
      </w:r>
      <w:r>
        <w:t>比原来提高了251%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001714工银文体产业股票——4万</w:t>
      </w:r>
    </w:p>
    <w:p>
      <w:r>
        <w:t>270002广发稳健——4万</w:t>
      </w:r>
    </w:p>
    <w:p>
      <w:r>
        <w:t>485111工银瑞信双利债券——92万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