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2018-03-26——2020-10-19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期间收益：40.87%(22万元)</w:t>
      </w:r>
    </w:p>
    <w:p>
      <w:r>
        <w:t>期间最大回撤：31.73%(13万元)</w:t>
      </w:r>
    </w:p>
    <w:p>
      <w:r>
        <w:t>期间风险收益比：1.29（即总收益/最大回撤）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2018-03-26——2020-10-19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期间收益：69.99%(37万元)</w:t>
      </w:r>
      <w:r>
        <w:t>比原来提高了71%</w:t>
      </w:r>
    </w:p>
    <w:p>
      <w:r>
        <w:t>期间最大回撤：23.21%(10万元)</w:t>
      </w:r>
      <w:r>
        <w:t>比原来降低了27%</w:t>
      </w:r>
    </w:p>
    <w:p>
      <w:r>
        <w:t>期间风险收益比：3.02（即总收益/最大回撤）</w:t>
      </w:r>
      <w:r>
        <w:t>比原来提高了134%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005827易方达蓝筹精选混合——50万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