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客户B基金检视报告（高风险版）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2020-10-19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2017-10-23——2020-10-19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期间收益：61.9%(112万元)</w:t>
      </w:r>
    </w:p>
    <w:p>
      <w:r>
        <w:t>期间最大回撤：23.14%(25万元)</w:t>
      </w:r>
    </w:p>
    <w:p>
      <w:r>
        <w:t>期间风险收益比：2.68（即总收益/最大回撤）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投资方法：每次申购均买入对应季度的高风险组合，买入后每持有6个月调整一次</w:t>
      </w:r>
    </w:p>
    <w:p>
      <w:r>
        <w:t>复现周期：</w:t>
      </w:r>
      <w:r>
        <w:t>2017-10-23——2020-10-19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B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期间收益：107.28%(203万元)</w:t>
      </w:r>
      <w:r>
        <w:t>比原来提高了82%</w:t>
      </w:r>
    </w:p>
    <w:p>
      <w:r>
        <w:t>期间最大回撤：21.22%(23万元)</w:t>
      </w:r>
      <w:r>
        <w:t>比原来降低了8%</w:t>
      </w:r>
    </w:p>
    <w:p>
      <w:r>
        <w:t>期间风险收益比：5.06（即总收益/最大回撤）</w:t>
      </w:r>
      <w:r>
        <w:t>比原来提高了89%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B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001714工银文体产业股票——50万</w:t>
      </w:r>
    </w:p>
    <w:p>
      <w:r>
        <w:t>005827易方达蓝筹精选混合——50万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