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2020-10-20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期间收益：-0.89%(-2万元)</w:t>
      </w:r>
    </w:p>
    <w:p>
      <w:r>
        <w:t>期间最大回撤：48.03%(20万元)</w:t>
      </w:r>
    </w:p>
    <w:p>
      <w:r>
        <w:t>期间风险收益比：-0.02（即总收益/最大回撤）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2015-05-18——2020-10-20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期间收益：92.65%(185万元)</w:t>
      </w:r>
      <w:r>
        <w:t>比原来提高了10409%</w:t>
      </w:r>
    </w:p>
    <w:p>
      <w:r>
        <w:t>期间最大回撤：43.81%(20万元)</w:t>
      </w:r>
      <w:r>
        <w:t>比原来降低了9%</w:t>
      </w:r>
    </w:p>
    <w:p>
      <w:r>
        <w:t>期间风险收益比：2.11（即总收益/最大回撤）</w:t>
      </w:r>
      <w:r>
        <w:t>比原来提高了11531%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001714工银文体产业股票——50万</w:t>
      </w:r>
    </w:p>
    <w:p>
      <w:r>
        <w:t>005827易方达蓝筹精选混合——50万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