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客户D基金检视报告（中风险版）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2020-10-19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2015-09-23——2020-10-19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期间收益：25.88%(17万元)</w:t>
      </w:r>
    </w:p>
    <w:p>
      <w:r>
        <w:t>期间最大回撤：45.23%(22万元)</w:t>
      </w:r>
    </w:p>
    <w:p>
      <w:r>
        <w:t>期间风险收益比：0.57（即总收益/最大回撤）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持仓组合类别：中风险组合</w:t>
      </w:r>
    </w:p>
    <w:p>
      <w:r>
        <w:t>投资方法：每次申购均买入对应季度的中风险组合，买入后每持有12个月调整一次</w:t>
      </w:r>
    </w:p>
    <w:p>
      <w:r>
        <w:t>复现周期：</w:t>
      </w:r>
      <w:r>
        <w:t>2015-09-23——2020-10-19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D中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期间收益：65.53%(42万元)</w:t>
      </w:r>
      <w:r>
        <w:t>比原来提高了153%</w:t>
      </w:r>
    </w:p>
    <w:p>
      <w:r>
        <w:t>期间最大回撤：18.47%(8万元)</w:t>
      </w:r>
      <w:r>
        <w:t>比原来降低了59%</w:t>
      </w:r>
    </w:p>
    <w:p>
      <w:r>
        <w:t>期间风险收益比：3.55（即总收益/最大回撤）</w:t>
      </w:r>
      <w:r>
        <w:t>比原来提高了520%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组合类别：中风险公募基金组合</w:t>
      </w:r>
    </w:p>
    <w:p>
      <w:r>
        <w:t>组合更新时间：2020年4季度（组合明细如下图所示）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D中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001714工银文体产业股票——40万</w:t>
      </w:r>
    </w:p>
    <w:p>
      <w:r>
        <w:t>270002广发稳健——33万</w:t>
      </w:r>
    </w:p>
    <w:p>
      <w:r>
        <w:t>000171易方达裕丰——27万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