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客户D基金检视报告（高风险版）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2015-09-23——2020-10-19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期间收益：25.88%(17万元)</w:t>
      </w:r>
    </w:p>
    <w:p>
      <w:r>
        <w:t>期间最大回撤：45.23%(22万元)</w:t>
      </w:r>
    </w:p>
    <w:p>
      <w:r>
        <w:t>期间风险收益比：0.57（即总收益/最大回撤）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2015-09-23——2020-10-19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期间收益：98.87%(68万元)</w:t>
      </w:r>
      <w:r>
        <w:t>比原来提高了310%</w:t>
      </w:r>
    </w:p>
    <w:p>
      <w:r>
        <w:t>期间最大回撤：25.13%(11万元)</w:t>
      </w:r>
      <w:r>
        <w:t>比原来降低了44%</w:t>
      </w:r>
    </w:p>
    <w:p>
      <w:r>
        <w:t>期间风险收益比：3.93（即总收益/最大回撤）</w:t>
      </w:r>
      <w:r>
        <w:t>比原来提高了588%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001714工银文体产业股票——50万</w:t>
      </w:r>
    </w:p>
    <w:p>
      <w:r>
        <w:t>005827易方达蓝筹精选混合——50万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