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客户E基金检视报告（中风险版）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2015-06-04——2020-10-19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期间收益：-3.15%(-3万元)</w:t>
      </w:r>
    </w:p>
    <w:p>
      <w:r>
        <w:t>期间最大回撤：75.57%(8万元)</w:t>
      </w:r>
    </w:p>
    <w:p>
      <w:r>
        <w:t>期间风险收益比：-0.04（即总收益/最大回撤）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2015-06-04——2020-10-19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期间收益：32.27%(30万元)</w:t>
      </w:r>
      <w:r>
        <w:t>比原来提高了1024%</w:t>
      </w:r>
    </w:p>
    <w:p>
      <w:r>
        <w:t>期间最大回撤：31.64%(3万元)</w:t>
      </w:r>
      <w:r>
        <w:t>比原来降低了58%</w:t>
      </w:r>
    </w:p>
    <w:p>
      <w:r>
        <w:t>期间风险收益比：1.02（即总收益/最大回撤）</w:t>
      </w:r>
      <w:r>
        <w:t>比原来提高了2546%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001714工银文体产业股票——40万</w:t>
      </w:r>
    </w:p>
    <w:p>
      <w:r>
        <w:t>270002广发稳健——33万</w:t>
      </w:r>
    </w:p>
    <w:p>
      <w:r>
        <w:t>000171易方达裕丰——27万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