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客户E基金检视报告（高风险版）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2015-06-04——2020-10-19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期间收益：-3.15%(-3万元)</w:t>
      </w:r>
    </w:p>
    <w:p>
      <w:r>
        <w:t>期间最大回撤：75.57%(8万元)</w:t>
      </w:r>
    </w:p>
    <w:p>
      <w:r>
        <w:t>期间风险收益比：-0.04（即总收益/最大回撤）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2015-06-04——2020-10-19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期间收益：47.83%(44万元)</w:t>
      </w:r>
      <w:r>
        <w:t>比原来提高了1526%</w:t>
      </w:r>
    </w:p>
    <w:p>
      <w:r>
        <w:t>期间最大回撤：42.9%(4万元)</w:t>
      </w:r>
      <w:r>
        <w:t>比原来降低了43%</w:t>
      </w:r>
    </w:p>
    <w:p>
      <w:r>
        <w:t>期间风险收益比：1.11（即总收益/最大回撤）</w:t>
      </w:r>
      <w:r>
        <w:t>比原来提高了2774%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